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E76" w:rsidRPr="00E74967" w:rsidRDefault="001E354A" w:rsidP="007D1E76">
      <w:pPr>
        <w:spacing w:after="0" w:line="240" w:lineRule="auto"/>
        <w:jc w:val="center"/>
        <w:rPr>
          <w:rFonts w:cs="Calibri"/>
          <w:b/>
          <w:sz w:val="28"/>
          <w:szCs w:val="28"/>
        </w:rPr>
      </w:pPr>
      <w:r>
        <w:fldChar w:fldCharType="begin"/>
      </w:r>
      <w:r>
        <w:instrText xml:space="preserve"> HYPERLINK "file:///\\\\172.30.10.92\\..\\..\\lquiroz\\AppData\\Local\\Microsoft\\Windows\\Temporary%20Internet%20Files\\Content.Outlook\\HBGSO9P3\\MODELO%20CTA%202013.pptx"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Default="007D1E76" w:rsidP="007A0033">
      <w:pPr>
        <w:pStyle w:val="Prrafodelista"/>
        <w:numPr>
          <w:ilvl w:val="0"/>
          <w:numId w:val="3"/>
        </w:numPr>
        <w:spacing w:after="0" w:line="240" w:lineRule="auto"/>
        <w:rPr>
          <w:rFonts w:cs="Calibri"/>
        </w:rPr>
      </w:pPr>
      <w:r w:rsidRPr="007A0033">
        <w:rPr>
          <w:rFonts w:cs="Calibri"/>
        </w:rPr>
        <w:t>Las notas de gestión administrativa deben contener los siguientes puntos:</w:t>
      </w:r>
    </w:p>
    <w:p w:rsidR="00F913DD" w:rsidRDefault="00F913DD" w:rsidP="00F913DD">
      <w:pPr>
        <w:pStyle w:val="Prrafodelista"/>
        <w:spacing w:after="0" w:line="240" w:lineRule="auto"/>
        <w:rPr>
          <w:rFonts w:cs="Calibri"/>
        </w:rPr>
      </w:pPr>
    </w:p>
    <w:p w:rsidR="007A0033" w:rsidRDefault="007A0033" w:rsidP="007A0033">
      <w:pPr>
        <w:spacing w:after="0" w:line="240" w:lineRule="auto"/>
        <w:rPr>
          <w:rFonts w:cs="Calibri"/>
        </w:rPr>
      </w:pPr>
    </w:p>
    <w:p w:rsidR="007A0033" w:rsidRPr="007A0033" w:rsidRDefault="007A0033" w:rsidP="007A0033">
      <w:pPr>
        <w:pStyle w:val="Prrafodelista"/>
        <w:numPr>
          <w:ilvl w:val="0"/>
          <w:numId w:val="3"/>
        </w:numPr>
        <w:spacing w:after="0" w:line="240" w:lineRule="auto"/>
        <w:jc w:val="both"/>
        <w:rPr>
          <w:rFonts w:cs="Calibri"/>
          <w:sz w:val="32"/>
        </w:rPr>
      </w:pPr>
      <w:r w:rsidRPr="007A0033">
        <w:rPr>
          <w:rFonts w:cs="Calibri"/>
          <w:sz w:val="32"/>
        </w:rPr>
        <w:t>Contenido</w:t>
      </w:r>
    </w:p>
    <w:p w:rsidR="007A0033" w:rsidRDefault="007A0033" w:rsidP="007D1E76">
      <w:pPr>
        <w:spacing w:after="0" w:line="240" w:lineRule="auto"/>
        <w:jc w:val="both"/>
        <w:rPr>
          <w:rFonts w:cs="Calibri"/>
          <w:b/>
        </w:rPr>
      </w:pPr>
    </w:p>
    <w:tbl>
      <w:tblPr>
        <w:tblW w:w="9000" w:type="dxa"/>
        <w:tblCellMar>
          <w:left w:w="70" w:type="dxa"/>
          <w:right w:w="70" w:type="dxa"/>
        </w:tblCellMar>
        <w:tblLook w:val="04A0" w:firstRow="1" w:lastRow="0" w:firstColumn="1" w:lastColumn="0" w:noHBand="0" w:noVBand="1"/>
      </w:tblPr>
      <w:tblGrid>
        <w:gridCol w:w="7800"/>
        <w:gridCol w:w="1200"/>
      </w:tblGrid>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1. Introducción</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2</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2. Describir el panorama Económico y Financiero:</w:t>
            </w:r>
          </w:p>
        </w:tc>
        <w:tc>
          <w:tcPr>
            <w:tcW w:w="1200" w:type="dxa"/>
            <w:tcBorders>
              <w:top w:val="nil"/>
              <w:left w:val="nil"/>
              <w:bottom w:val="nil"/>
              <w:right w:val="nil"/>
            </w:tcBorders>
            <w:shd w:val="clear" w:color="auto" w:fill="auto"/>
            <w:noWrap/>
            <w:vAlign w:val="bottom"/>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2</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3. Autorización e Historia:</w:t>
            </w:r>
          </w:p>
        </w:tc>
        <w:tc>
          <w:tcPr>
            <w:tcW w:w="1200" w:type="dxa"/>
            <w:tcBorders>
              <w:top w:val="nil"/>
              <w:left w:val="nil"/>
              <w:bottom w:val="nil"/>
              <w:right w:val="nil"/>
            </w:tcBorders>
            <w:shd w:val="clear" w:color="auto" w:fill="auto"/>
            <w:noWrap/>
            <w:vAlign w:val="bottom"/>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2</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4. Organización y Objeto Social:</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2</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5. Bases de Preparación de los Estados Financieros:</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5</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6. Políticas de Contabilidad Significativas:</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6</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7. Posición en Moneda Extranjera y Protección por Riesgo Cambiario:</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7</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8. Reporte Analítico del Activo:</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8</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9. Fideicomisos, Mandatos y Análogos:</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10</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10. Reporte de la Recaudación:</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10</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11. Información sobre la Deuda y el Reporte Analítico de la Deuda:</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10</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12. Calificaciones otorgadas:</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10</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13. Proceso de Mejora:</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10</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14. Información por Segmentos:</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11</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15. Eventos Posteriores al Cierre:</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11</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sidRPr="00F913DD">
              <w:rPr>
                <w:rFonts w:eastAsia="Times New Roman"/>
                <w:color w:val="000000"/>
                <w:lang w:eastAsia="es-MX"/>
              </w:rPr>
              <w:t>16. Partes Relacionadas:</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11</w:t>
            </w:r>
          </w:p>
        </w:tc>
      </w:tr>
      <w:tr w:rsidR="00F913DD" w:rsidRPr="00F913DD" w:rsidTr="00F913DD">
        <w:trPr>
          <w:trHeight w:val="300"/>
        </w:trPr>
        <w:tc>
          <w:tcPr>
            <w:tcW w:w="78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rPr>
                <w:rFonts w:eastAsia="Times New Roman"/>
                <w:color w:val="000000"/>
                <w:lang w:eastAsia="es-MX"/>
              </w:rPr>
            </w:pPr>
            <w:r>
              <w:rPr>
                <w:rFonts w:cs="Calibri"/>
              </w:rPr>
              <w:t>17</w:t>
            </w:r>
            <w:r w:rsidRPr="00F913DD">
              <w:rPr>
                <w:rFonts w:cs="Calibri"/>
              </w:rPr>
              <w:t>. Responsabilidad Sobre la Presentación Razonable dela Información Contable :</w:t>
            </w:r>
          </w:p>
        </w:tc>
        <w:tc>
          <w:tcPr>
            <w:tcW w:w="1200" w:type="dxa"/>
            <w:tcBorders>
              <w:top w:val="nil"/>
              <w:left w:val="nil"/>
              <w:bottom w:val="nil"/>
              <w:right w:val="nil"/>
            </w:tcBorders>
            <w:shd w:val="clear" w:color="auto" w:fill="auto"/>
            <w:noWrap/>
            <w:vAlign w:val="center"/>
            <w:hideMark/>
          </w:tcPr>
          <w:p w:rsidR="00F913DD" w:rsidRPr="00F913DD" w:rsidRDefault="00F913DD" w:rsidP="00F913DD">
            <w:pPr>
              <w:spacing w:after="0" w:line="240" w:lineRule="auto"/>
              <w:jc w:val="right"/>
              <w:rPr>
                <w:rFonts w:eastAsia="Times New Roman"/>
                <w:color w:val="000000"/>
                <w:lang w:eastAsia="es-MX"/>
              </w:rPr>
            </w:pPr>
            <w:r w:rsidRPr="00F913DD">
              <w:rPr>
                <w:rFonts w:eastAsia="Times New Roman"/>
                <w:color w:val="000000"/>
                <w:lang w:eastAsia="es-MX"/>
              </w:rPr>
              <w:t>11</w:t>
            </w:r>
          </w:p>
        </w:tc>
      </w:tr>
    </w:tbl>
    <w:p w:rsidR="00F913DD" w:rsidRDefault="00F913DD" w:rsidP="007D1E76">
      <w:pPr>
        <w:spacing w:after="0" w:line="240" w:lineRule="auto"/>
        <w:jc w:val="both"/>
        <w:rPr>
          <w:rFonts w:cs="Calibri"/>
          <w:b/>
        </w:rPr>
      </w:pPr>
    </w:p>
    <w:p w:rsidR="007A0033" w:rsidRDefault="007A0033" w:rsidP="007D1E76">
      <w:pPr>
        <w:spacing w:after="0" w:line="240" w:lineRule="auto"/>
        <w:jc w:val="both"/>
        <w:rPr>
          <w:rFonts w:cs="Calibri"/>
          <w:b/>
        </w:rPr>
      </w:pPr>
    </w:p>
    <w:p w:rsidR="007A0033" w:rsidRDefault="007A0033" w:rsidP="007D1E76">
      <w:pPr>
        <w:spacing w:after="0" w:line="240" w:lineRule="auto"/>
        <w:jc w:val="both"/>
        <w:rPr>
          <w:rFonts w:cs="Calibri"/>
          <w:b/>
        </w:rPr>
      </w:pPr>
    </w:p>
    <w:p w:rsidR="00F913DD" w:rsidRDefault="00F913DD" w:rsidP="007D1E76">
      <w:pPr>
        <w:spacing w:after="0" w:line="240" w:lineRule="auto"/>
        <w:jc w:val="both"/>
        <w:rPr>
          <w:rFonts w:cs="Calibri"/>
          <w:b/>
        </w:rPr>
      </w:pPr>
    </w:p>
    <w:p w:rsidR="00F913DD" w:rsidRDefault="00F913DD" w:rsidP="007D1E76">
      <w:pPr>
        <w:spacing w:after="0" w:line="240" w:lineRule="auto"/>
        <w:jc w:val="both"/>
        <w:rPr>
          <w:rFonts w:cs="Calibri"/>
          <w:b/>
        </w:rPr>
      </w:pPr>
    </w:p>
    <w:p w:rsidR="00F913DD" w:rsidRDefault="00F913DD" w:rsidP="007D1E76">
      <w:pPr>
        <w:spacing w:after="0" w:line="240" w:lineRule="auto"/>
        <w:jc w:val="both"/>
        <w:rPr>
          <w:rFonts w:cs="Calibri"/>
          <w:b/>
        </w:rPr>
      </w:pPr>
    </w:p>
    <w:p w:rsidR="00F913DD" w:rsidRDefault="00F913DD" w:rsidP="007D1E76">
      <w:pPr>
        <w:spacing w:after="0" w:line="240" w:lineRule="auto"/>
        <w:jc w:val="both"/>
        <w:rPr>
          <w:rFonts w:cs="Calibri"/>
          <w:b/>
        </w:rPr>
      </w:pPr>
    </w:p>
    <w:p w:rsidR="00F913DD" w:rsidRDefault="00F913DD" w:rsidP="007D1E76">
      <w:pPr>
        <w:spacing w:after="0" w:line="240" w:lineRule="auto"/>
        <w:jc w:val="both"/>
        <w:rPr>
          <w:rFonts w:cs="Calibri"/>
          <w:b/>
        </w:rPr>
      </w:pPr>
    </w:p>
    <w:p w:rsidR="00F913DD" w:rsidRDefault="00F913DD" w:rsidP="007D1E76">
      <w:pPr>
        <w:spacing w:after="0" w:line="240" w:lineRule="auto"/>
        <w:jc w:val="both"/>
        <w:rPr>
          <w:rFonts w:cs="Calibri"/>
          <w:b/>
        </w:rPr>
      </w:pPr>
    </w:p>
    <w:p w:rsidR="00F913DD" w:rsidRDefault="00F913DD" w:rsidP="007D1E76">
      <w:pPr>
        <w:spacing w:after="0" w:line="240" w:lineRule="auto"/>
        <w:jc w:val="both"/>
        <w:rPr>
          <w:rFonts w:cs="Calibri"/>
          <w:b/>
        </w:rPr>
      </w:pPr>
    </w:p>
    <w:p w:rsidR="007D1E76" w:rsidRDefault="007D1E76" w:rsidP="007D1E76">
      <w:pPr>
        <w:spacing w:after="0" w:line="240" w:lineRule="auto"/>
        <w:jc w:val="both"/>
        <w:rPr>
          <w:rFonts w:cs="Calibri"/>
          <w:b/>
        </w:rPr>
      </w:pPr>
      <w:r w:rsidRPr="00E74967">
        <w:rPr>
          <w:rFonts w:cs="Calibri"/>
          <w:b/>
        </w:rPr>
        <w:t>1. Introducción:</w:t>
      </w:r>
    </w:p>
    <w:p w:rsidR="00865333" w:rsidRPr="00E74967" w:rsidRDefault="00865333" w:rsidP="007D1E76">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La Universidad Politécnica del Bicentenario es un organismo público descentralizado de la Administración Pública Estatal, sectorizado a la Secretaría de Educación de Guanajuato. Forma parte del Sistema de Educación Superior Tecnológica del Estatal de Guanajuato  (SESTEG) y adopta el modelo educativo del Subsistema Nacional de Universidades Politécnicas, con apego a las normas, políticas y lineamientos establecidos de común acuerdo entre autoridades educativas estatal y federal.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La Universidad, desde su creación, ha operado con déficit presupuestal por lo que cada año se realizan las gestiones de recursos necesarios para concluir el ejercicio (sueldos, servicios, etc.)</w:t>
      </w:r>
      <w:r>
        <w:rPr>
          <w:rFonts w:cs="Calibri"/>
        </w:rPr>
        <w:t>.</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a)</w:t>
      </w:r>
      <w:r w:rsidRPr="00865333">
        <w:rPr>
          <w:rFonts w:cs="Calibri"/>
        </w:rPr>
        <w:t xml:space="preserve"> Fecha de creación del ente.</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 xml:space="preserve">La Universidad Politécnica del Bicentenario fue creada el 14 de </w:t>
      </w:r>
      <w:r w:rsidR="00DD16BC">
        <w:rPr>
          <w:rFonts w:cs="Calibri"/>
        </w:rPr>
        <w:t>Diciembre</w:t>
      </w:r>
      <w:r w:rsidRPr="00865333">
        <w:rPr>
          <w:rFonts w:cs="Calibri"/>
        </w:rPr>
        <w:t xml:space="preserve"> de 2010 con la publicación del decreto Gubernativo 147 del Ejecutivo del Estado, publicado en el periódico Oficial del Gobierno del Estado No. 147.</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b)</w:t>
      </w:r>
      <w:r w:rsidRPr="00865333">
        <w:rPr>
          <w:rFonts w:cs="Calibri"/>
        </w:rPr>
        <w:t xml:space="preserve"> Principales cambios en su estructura (interna históricamente).</w:t>
      </w:r>
    </w:p>
    <w:p w:rsidR="00865333" w:rsidRPr="00865333" w:rsidRDefault="00865333" w:rsidP="00865333">
      <w:pPr>
        <w:spacing w:after="0" w:line="240" w:lineRule="auto"/>
        <w:jc w:val="both"/>
        <w:rPr>
          <w:rFonts w:cs="Calibri"/>
        </w:rPr>
      </w:pPr>
    </w:p>
    <w:p w:rsidR="003E1BB0" w:rsidRPr="003E1BB0" w:rsidRDefault="003E1BB0" w:rsidP="003E1BB0">
      <w:pPr>
        <w:spacing w:after="0" w:line="240" w:lineRule="auto"/>
        <w:jc w:val="both"/>
        <w:rPr>
          <w:rFonts w:cs="Calibri"/>
        </w:rPr>
      </w:pPr>
      <w:r w:rsidRPr="003E1BB0">
        <w:rPr>
          <w:rFonts w:cs="Calibri"/>
        </w:rPr>
        <w:t xml:space="preserve">La Universidad basa sus estructuras a los lineamientos de la SEP, representadas por la </w:t>
      </w:r>
      <w:proofErr w:type="spellStart"/>
      <w:r w:rsidRPr="003E1BB0">
        <w:rPr>
          <w:rFonts w:cs="Calibri"/>
        </w:rPr>
        <w:t>CGUTyP</w:t>
      </w:r>
      <w:proofErr w:type="spellEnd"/>
      <w:r w:rsidRPr="003E1BB0">
        <w:rPr>
          <w:rFonts w:cs="Calibri"/>
        </w:rPr>
        <w:t>, la cual en su momento autorizo la estructura B aplicable a una matrícula de 301 a 500 estudiantes. En el año 2013 se escaló a la estructura C correspondiente a una matrícula de 501 a 1000 alumnos con las que operamos actualmente.</w:t>
      </w:r>
    </w:p>
    <w:p w:rsidR="007D1E76"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865333" w:rsidRDefault="00865333" w:rsidP="007D1E76">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La Universidad tiene por objeto:</w:t>
      </w:r>
    </w:p>
    <w:p w:rsidR="00865333" w:rsidRPr="00D64C60" w:rsidRDefault="00865333" w:rsidP="00865333">
      <w:pPr>
        <w:spacing w:after="0" w:line="240" w:lineRule="auto"/>
        <w:jc w:val="both"/>
        <w:rPr>
          <w:rFonts w:ascii="Times New Roman" w:hAnsi="Times New Roman"/>
          <w:sz w:val="24"/>
          <w:szCs w:val="24"/>
        </w:rPr>
      </w:pPr>
    </w:p>
    <w:p w:rsidR="00865333" w:rsidRPr="00865333" w:rsidRDefault="00865333" w:rsidP="00865333">
      <w:pPr>
        <w:numPr>
          <w:ilvl w:val="0"/>
          <w:numId w:val="2"/>
        </w:numPr>
        <w:spacing w:after="0" w:line="240" w:lineRule="auto"/>
        <w:jc w:val="both"/>
        <w:rPr>
          <w:rFonts w:cs="Calibri"/>
        </w:rPr>
      </w:pPr>
      <w:r w:rsidRPr="00865333">
        <w:rPr>
          <w:rFonts w:cs="Calibri"/>
        </w:rPr>
        <w:t>Impartir educación superior en los niveles de licenciatura, especialización maestría, doctorado, así como cursos de actualización en sus diversas modalidades, incluyendo educación a distancia, diseños con base en competencias, para preparar profesionales con una sólida formación científica, tecnológica y en valores, conscientes del contexto nacional e internacional, en lo económico, político, social, del medio ambiente y cultural;</w:t>
      </w:r>
    </w:p>
    <w:p w:rsidR="00865333" w:rsidRPr="00865333" w:rsidRDefault="00865333" w:rsidP="00865333">
      <w:pPr>
        <w:spacing w:after="0" w:line="240" w:lineRule="auto"/>
        <w:jc w:val="both"/>
        <w:rPr>
          <w:rFonts w:cs="Calibri"/>
        </w:rPr>
      </w:pPr>
    </w:p>
    <w:p w:rsidR="00865333" w:rsidRPr="00865333" w:rsidRDefault="00865333" w:rsidP="00865333">
      <w:pPr>
        <w:numPr>
          <w:ilvl w:val="0"/>
          <w:numId w:val="2"/>
        </w:numPr>
        <w:spacing w:after="0" w:line="240" w:lineRule="auto"/>
        <w:jc w:val="both"/>
        <w:rPr>
          <w:rFonts w:cs="Calibri"/>
        </w:rPr>
      </w:pPr>
      <w:r w:rsidRPr="00865333">
        <w:rPr>
          <w:rFonts w:cs="Calibri"/>
        </w:rPr>
        <w:t>Realizar la investigación aplicada y desarrollo tecnológico, pertinentes para el desarrollo económico y social de la región, del Estado y de la Nación;</w:t>
      </w:r>
    </w:p>
    <w:p w:rsidR="00865333" w:rsidRPr="00865333" w:rsidRDefault="00865333" w:rsidP="00865333">
      <w:pPr>
        <w:spacing w:after="0" w:line="240" w:lineRule="auto"/>
        <w:jc w:val="both"/>
        <w:rPr>
          <w:rFonts w:cs="Calibri"/>
        </w:rPr>
      </w:pPr>
    </w:p>
    <w:p w:rsidR="00865333" w:rsidRPr="00865333" w:rsidRDefault="00865333" w:rsidP="00865333">
      <w:pPr>
        <w:numPr>
          <w:ilvl w:val="0"/>
          <w:numId w:val="2"/>
        </w:numPr>
        <w:spacing w:after="0" w:line="240" w:lineRule="auto"/>
        <w:jc w:val="both"/>
        <w:rPr>
          <w:rFonts w:cs="Calibri"/>
        </w:rPr>
      </w:pPr>
      <w:r w:rsidRPr="00865333">
        <w:rPr>
          <w:rFonts w:cs="Calibri"/>
        </w:rPr>
        <w:t>Difundir el conocimiento y la cultura a través de la extensión universitaria y la formación a lo largo de toda la vida;</w:t>
      </w:r>
    </w:p>
    <w:p w:rsidR="00865333" w:rsidRPr="00865333" w:rsidRDefault="00865333" w:rsidP="00865333">
      <w:pPr>
        <w:spacing w:after="0" w:line="240" w:lineRule="auto"/>
        <w:jc w:val="both"/>
        <w:rPr>
          <w:rFonts w:cs="Calibri"/>
        </w:rPr>
      </w:pPr>
    </w:p>
    <w:p w:rsidR="00865333" w:rsidRPr="00865333" w:rsidRDefault="00865333" w:rsidP="00865333">
      <w:pPr>
        <w:numPr>
          <w:ilvl w:val="0"/>
          <w:numId w:val="2"/>
        </w:numPr>
        <w:spacing w:after="0" w:line="240" w:lineRule="auto"/>
        <w:jc w:val="both"/>
        <w:rPr>
          <w:rFonts w:cs="Calibri"/>
        </w:rPr>
      </w:pPr>
      <w:r w:rsidRPr="00865333">
        <w:rPr>
          <w:rFonts w:cs="Calibri"/>
        </w:rPr>
        <w:t>Prestar servicios tecnológicos y de asesoría, que contribuyen a mejorar el desempeño de las empresas y otra organizaciones de la región y del Estado principalmente;</w:t>
      </w:r>
    </w:p>
    <w:p w:rsidR="00865333" w:rsidRPr="00865333" w:rsidRDefault="00865333" w:rsidP="00865333">
      <w:pPr>
        <w:spacing w:after="0" w:line="240" w:lineRule="auto"/>
        <w:jc w:val="both"/>
        <w:rPr>
          <w:rFonts w:cs="Calibri"/>
        </w:rPr>
      </w:pPr>
    </w:p>
    <w:p w:rsidR="00865333" w:rsidRPr="00865333" w:rsidRDefault="00865333" w:rsidP="00865333">
      <w:pPr>
        <w:numPr>
          <w:ilvl w:val="0"/>
          <w:numId w:val="2"/>
        </w:numPr>
        <w:spacing w:after="0" w:line="240" w:lineRule="auto"/>
        <w:jc w:val="both"/>
        <w:rPr>
          <w:rFonts w:cs="Calibri"/>
        </w:rPr>
      </w:pPr>
      <w:r w:rsidRPr="00865333">
        <w:rPr>
          <w:rFonts w:cs="Calibri"/>
        </w:rPr>
        <w:t>Impartir programas de educación continua con orientación a la capacitación para el trabajo y al fomento de la cultura tecnológica en la región y en el Estado; y</w:t>
      </w:r>
    </w:p>
    <w:p w:rsidR="00865333" w:rsidRPr="00865333" w:rsidRDefault="00865333" w:rsidP="00865333">
      <w:pPr>
        <w:spacing w:after="0" w:line="240" w:lineRule="auto"/>
        <w:jc w:val="both"/>
        <w:rPr>
          <w:rFonts w:cs="Calibri"/>
        </w:rPr>
      </w:pPr>
    </w:p>
    <w:p w:rsidR="00865333" w:rsidRPr="00865333" w:rsidRDefault="00865333" w:rsidP="00865333">
      <w:pPr>
        <w:numPr>
          <w:ilvl w:val="0"/>
          <w:numId w:val="2"/>
        </w:numPr>
        <w:spacing w:after="0" w:line="240" w:lineRule="auto"/>
        <w:jc w:val="both"/>
        <w:rPr>
          <w:rFonts w:cs="Calibri"/>
        </w:rPr>
      </w:pPr>
      <w:r w:rsidRPr="00865333">
        <w:rPr>
          <w:rFonts w:cs="Calibri"/>
        </w:rPr>
        <w:t>Ejecutar cualquier otro que permita consolidar el modelo educativo con base en competencias.</w:t>
      </w:r>
    </w:p>
    <w:p w:rsidR="00865333" w:rsidRDefault="00865333"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rsidR="00865333" w:rsidRDefault="00865333" w:rsidP="007D1E76">
      <w:pPr>
        <w:spacing w:after="0" w:line="240" w:lineRule="auto"/>
        <w:jc w:val="both"/>
        <w:rPr>
          <w:rFonts w:cs="Calibri"/>
        </w:rPr>
      </w:pPr>
    </w:p>
    <w:p w:rsidR="003E1BB0" w:rsidRPr="003E1BB0" w:rsidRDefault="003E1BB0" w:rsidP="003E1BB0">
      <w:pPr>
        <w:spacing w:after="0" w:line="240" w:lineRule="auto"/>
        <w:jc w:val="both"/>
        <w:rPr>
          <w:rFonts w:cs="Calibri"/>
        </w:rPr>
      </w:pPr>
      <w:r w:rsidRPr="003E1BB0">
        <w:rPr>
          <w:rFonts w:cs="Calibri"/>
        </w:rPr>
        <w:t>La Universidad cuenta con seis Programas Educativos con los que busca la formación integral de profesionales con un modelo educativo basado en competencias.</w:t>
      </w:r>
    </w:p>
    <w:p w:rsidR="00865333" w:rsidRPr="000B7810" w:rsidRDefault="00865333" w:rsidP="00865333">
      <w:pPr>
        <w:spacing w:after="0" w:line="240" w:lineRule="auto"/>
        <w:jc w:val="both"/>
        <w:rPr>
          <w:rFonts w:ascii="Times New Roman" w:hAnsi="Times New Roman"/>
          <w:sz w:val="24"/>
          <w:szCs w:val="24"/>
        </w:rPr>
      </w:pPr>
    </w:p>
    <w:p w:rsidR="00865333" w:rsidRDefault="00865333" w:rsidP="00865333">
      <w:pPr>
        <w:spacing w:after="0" w:line="240" w:lineRule="auto"/>
        <w:jc w:val="both"/>
        <w:rPr>
          <w:rFonts w:cs="Calibri"/>
        </w:rPr>
      </w:pPr>
      <w:r w:rsidRPr="00865333">
        <w:rPr>
          <w:rFonts w:cs="Calibri"/>
          <w:b/>
        </w:rPr>
        <w:t>c)</w:t>
      </w:r>
      <w:r w:rsidR="00546871">
        <w:rPr>
          <w:rFonts w:cs="Calibri"/>
        </w:rPr>
        <w:t xml:space="preserve"> Ejercicio fiscal </w:t>
      </w:r>
    </w:p>
    <w:p w:rsidR="00546871" w:rsidRPr="00865333" w:rsidRDefault="00546871"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 xml:space="preserve">El ejercicio fiscal es del 1° de </w:t>
      </w:r>
      <w:r w:rsidR="00E96027">
        <w:rPr>
          <w:rFonts w:cs="Calibri"/>
        </w:rPr>
        <w:t>Enero</w:t>
      </w:r>
      <w:r w:rsidRPr="00865333">
        <w:rPr>
          <w:rFonts w:cs="Calibri"/>
        </w:rPr>
        <w:t xml:space="preserve"> al </w:t>
      </w:r>
      <w:r w:rsidR="00502811">
        <w:rPr>
          <w:rFonts w:cs="Calibri"/>
        </w:rPr>
        <w:t>3</w:t>
      </w:r>
      <w:r w:rsidR="006E5EDF">
        <w:rPr>
          <w:rFonts w:cs="Calibri"/>
        </w:rPr>
        <w:t>0</w:t>
      </w:r>
      <w:r w:rsidR="00DA0F85">
        <w:rPr>
          <w:rFonts w:cs="Calibri"/>
        </w:rPr>
        <w:t xml:space="preserve"> de </w:t>
      </w:r>
      <w:r w:rsidR="006E5EDF">
        <w:rPr>
          <w:rFonts w:cs="Calibri"/>
        </w:rPr>
        <w:t>Septiembre</w:t>
      </w:r>
      <w:bookmarkStart w:id="0" w:name="_GoBack"/>
      <w:bookmarkEnd w:id="0"/>
      <w:r w:rsidR="009E4C89">
        <w:rPr>
          <w:rFonts w:cs="Calibri"/>
        </w:rPr>
        <w:t xml:space="preserve"> </w:t>
      </w:r>
      <w:proofErr w:type="spellStart"/>
      <w:r w:rsidRPr="00865333">
        <w:rPr>
          <w:rFonts w:cs="Calibri"/>
        </w:rPr>
        <w:t>de</w:t>
      </w:r>
      <w:proofErr w:type="spellEnd"/>
      <w:r w:rsidRPr="00865333">
        <w:rPr>
          <w:rFonts w:cs="Calibri"/>
        </w:rPr>
        <w:t xml:space="preserve"> 201</w:t>
      </w:r>
      <w:r w:rsidR="009E4C89">
        <w:rPr>
          <w:rFonts w:cs="Calibri"/>
        </w:rPr>
        <w:t>9</w:t>
      </w:r>
      <w:r w:rsidRPr="00865333">
        <w:rPr>
          <w:rFonts w:cs="Calibri"/>
        </w:rPr>
        <w:t>.</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d)</w:t>
      </w:r>
      <w:r w:rsidRPr="00865333">
        <w:rPr>
          <w:rFonts w:cs="Calibri"/>
        </w:rPr>
        <w:t xml:space="preserve"> Régimen jurídico (Forma como está dada de alta la entidad ante la S.H.C.P., ejemplos: S.C., S.A., Personas morales sin fines de lucro, etc.).</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 xml:space="preserve">La Universidad  Politécnica del Bicentenario está dada de alta en el Registro Federal de Contribuyentes bajo el régimen fiscal de Personas Morales sin fines de lucro. </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e)</w:t>
      </w:r>
      <w:r w:rsidRPr="00865333">
        <w:rPr>
          <w:rFonts w:cs="Calibri"/>
        </w:rPr>
        <w:t xml:space="preserve"> Consideraciones fiscales del ente: revelar el tipo de contribuciones que esté obligado a pagar o retener.</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 xml:space="preserve">La Universidad Politécnica del Bicentenario  es no contribuyente del Impuesto Sobre la Renta en los términos del Art. 79 </w:t>
      </w:r>
      <w:proofErr w:type="spellStart"/>
      <w:r w:rsidRPr="00865333">
        <w:rPr>
          <w:rFonts w:cs="Calibri"/>
        </w:rPr>
        <w:t>fracc</w:t>
      </w:r>
      <w:proofErr w:type="spellEnd"/>
      <w:r w:rsidRPr="00865333">
        <w:rPr>
          <w:rFonts w:cs="Calibri"/>
        </w:rPr>
        <w:t>. X de la LISR.</w:t>
      </w:r>
    </w:p>
    <w:p w:rsid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se tienen las siguientes obligaciones fiscales: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w:t>
      </w:r>
      <w:r w:rsidRPr="00865333">
        <w:rPr>
          <w:rFonts w:cs="Calibri"/>
        </w:rPr>
        <w:tab/>
        <w:t>Presentar declaración y pago provisional mensuales de retenciones de I.S.R. por sueldos y salarios</w:t>
      </w:r>
    </w:p>
    <w:p w:rsidR="00865333" w:rsidRPr="00865333" w:rsidRDefault="00865333" w:rsidP="00865333">
      <w:pPr>
        <w:spacing w:after="0" w:line="240" w:lineRule="auto"/>
        <w:jc w:val="both"/>
        <w:rPr>
          <w:rFonts w:cs="Calibri"/>
        </w:rPr>
      </w:pPr>
      <w:r w:rsidRPr="00865333">
        <w:rPr>
          <w:rFonts w:cs="Calibri"/>
        </w:rPr>
        <w:t>-</w:t>
      </w:r>
      <w:r w:rsidRPr="00865333">
        <w:rPr>
          <w:rFonts w:cs="Calibri"/>
        </w:rPr>
        <w:tab/>
        <w:t xml:space="preserve">Presentar declaración y pago provisional mensuales de </w:t>
      </w:r>
      <w:proofErr w:type="spellStart"/>
      <w:r w:rsidRPr="00865333">
        <w:rPr>
          <w:rFonts w:cs="Calibri"/>
        </w:rPr>
        <w:t>de</w:t>
      </w:r>
      <w:proofErr w:type="spellEnd"/>
      <w:r w:rsidRPr="00865333">
        <w:rPr>
          <w:rFonts w:cs="Calibri"/>
        </w:rPr>
        <w:t xml:space="preserve"> I.S.R. por las retenciones realizadas por servicios profesionales</w:t>
      </w:r>
    </w:p>
    <w:p w:rsidR="00865333" w:rsidRPr="00865333" w:rsidRDefault="00865333" w:rsidP="00865333">
      <w:pPr>
        <w:spacing w:after="0" w:line="240" w:lineRule="auto"/>
        <w:jc w:val="both"/>
        <w:rPr>
          <w:rFonts w:cs="Calibri"/>
        </w:rPr>
      </w:pPr>
      <w:r w:rsidRPr="00865333">
        <w:rPr>
          <w:rFonts w:cs="Calibri"/>
        </w:rPr>
        <w:t>-</w:t>
      </w:r>
      <w:r w:rsidRPr="00865333">
        <w:rPr>
          <w:rFonts w:cs="Calibri"/>
        </w:rPr>
        <w:tab/>
        <w:t xml:space="preserve">Presentar declaración anual de I.S.R. donde se informa sobre los pagos y retenciones de servicios profesionales </w:t>
      </w:r>
    </w:p>
    <w:p w:rsidR="00865333" w:rsidRPr="00865333" w:rsidRDefault="00865333" w:rsidP="00865333">
      <w:pPr>
        <w:spacing w:after="0" w:line="240" w:lineRule="auto"/>
        <w:jc w:val="both"/>
        <w:rPr>
          <w:rFonts w:cs="Calibri"/>
        </w:rPr>
      </w:pPr>
      <w:r w:rsidRPr="00865333">
        <w:rPr>
          <w:rFonts w:cs="Calibri"/>
        </w:rPr>
        <w:t>-</w:t>
      </w:r>
      <w:r w:rsidRPr="00865333">
        <w:rPr>
          <w:rFonts w:cs="Calibri"/>
        </w:rPr>
        <w:tab/>
        <w:t>Presentar declaración anual donde se informe sobre las retenciones de los trabajadores que reciben sueldos y salarios</w:t>
      </w:r>
    </w:p>
    <w:p w:rsidR="00865333" w:rsidRDefault="00865333" w:rsidP="00865333">
      <w:pPr>
        <w:spacing w:after="0" w:line="240" w:lineRule="auto"/>
        <w:jc w:val="both"/>
        <w:rPr>
          <w:rFonts w:cs="Calibri"/>
        </w:rPr>
      </w:pPr>
      <w:r w:rsidRPr="00865333">
        <w:rPr>
          <w:rFonts w:cs="Calibri"/>
        </w:rPr>
        <w:t>-</w:t>
      </w:r>
      <w:r w:rsidRPr="00865333">
        <w:rPr>
          <w:rFonts w:cs="Calibri"/>
        </w:rPr>
        <w:tab/>
        <w:t>Presentar declaración Informativa anual de Subsidio al Empleo</w:t>
      </w:r>
    </w:p>
    <w:p w:rsidR="003E1BB0" w:rsidRPr="003E1BB0" w:rsidRDefault="003E1BB0" w:rsidP="003E1BB0">
      <w:pPr>
        <w:spacing w:after="0" w:line="240" w:lineRule="auto"/>
        <w:jc w:val="both"/>
        <w:rPr>
          <w:rFonts w:cs="Calibri"/>
        </w:rPr>
      </w:pPr>
      <w:r>
        <w:rPr>
          <w:rFonts w:ascii="Arial" w:hAnsi="Arial" w:cs="Arial"/>
          <w:sz w:val="20"/>
          <w:szCs w:val="20"/>
        </w:rPr>
        <w:t xml:space="preserve">-            </w:t>
      </w:r>
      <w:r w:rsidRPr="003E1BB0">
        <w:rPr>
          <w:rFonts w:cs="Calibri"/>
        </w:rPr>
        <w:t>Presentar declaración y pago provisional mensuales del impuesto sobre Nómina.</w:t>
      </w:r>
    </w:p>
    <w:p w:rsidR="003E1BB0" w:rsidRPr="00865333" w:rsidRDefault="003E1BB0" w:rsidP="00865333">
      <w:pPr>
        <w:spacing w:after="0" w:line="240" w:lineRule="auto"/>
        <w:jc w:val="both"/>
        <w:rPr>
          <w:rFonts w:cs="Calibri"/>
        </w:rPr>
      </w:pP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f)</w:t>
      </w:r>
      <w:r w:rsidRPr="00865333">
        <w:rPr>
          <w:rFonts w:cs="Calibri"/>
        </w:rPr>
        <w:t xml:space="preserve"> Estructura organizacional básica.</w:t>
      </w:r>
    </w:p>
    <w:p w:rsidR="00B92D60" w:rsidRDefault="00B92D60" w:rsidP="00B92D60">
      <w:pPr>
        <w:spacing w:after="0" w:line="240" w:lineRule="auto"/>
        <w:jc w:val="both"/>
        <w:rPr>
          <w:rFonts w:cs="Calibri"/>
        </w:rPr>
      </w:pPr>
    </w:p>
    <w:p w:rsidR="00865333" w:rsidRPr="00865333" w:rsidRDefault="00865333" w:rsidP="00865333">
      <w:pPr>
        <w:jc w:val="both"/>
        <w:rPr>
          <w:rFonts w:cs="Calibri"/>
        </w:rPr>
      </w:pPr>
      <w:r w:rsidRPr="00865333">
        <w:rPr>
          <w:rFonts w:cs="Calibri"/>
        </w:rPr>
        <w:t xml:space="preserve">La estructura organizacional está basada en las estructuras que sugería la extinta CUP, Coordinación de Universidades Politécnicas de la  Ciudad de México, las cuales se basan en el número de alumnos con los que </w:t>
      </w:r>
      <w:r w:rsidRPr="00865333">
        <w:rPr>
          <w:rFonts w:cs="Calibri"/>
        </w:rPr>
        <w:lastRenderedPageBreak/>
        <w:t>cuenta la Universidad y las necesidades de la misma en base al plan de estudios que ellos mismos diseñan para su aplicación.</w:t>
      </w:r>
    </w:p>
    <w:tbl>
      <w:tblPr>
        <w:tblW w:w="7796" w:type="dxa"/>
        <w:tblInd w:w="65" w:type="dxa"/>
        <w:tblCellMar>
          <w:left w:w="70" w:type="dxa"/>
          <w:right w:w="70" w:type="dxa"/>
        </w:tblCellMar>
        <w:tblLook w:val="04A0" w:firstRow="1" w:lastRow="0" w:firstColumn="1" w:lastColumn="0" w:noHBand="0" w:noVBand="1"/>
      </w:tblPr>
      <w:tblGrid>
        <w:gridCol w:w="396"/>
        <w:gridCol w:w="6160"/>
        <w:gridCol w:w="1240"/>
      </w:tblGrid>
      <w:tr w:rsidR="00865333" w:rsidRPr="00B358AA" w:rsidTr="00C41B83">
        <w:trPr>
          <w:trHeight w:val="255"/>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No.</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Nomenclatura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No. de Plazas</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000000" w:fill="C0C0C0"/>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sidRPr="00B358AA">
              <w:rPr>
                <w:rFonts w:ascii="Arial Narrow" w:eastAsia="Times New Roman" w:hAnsi="Arial Narrow"/>
                <w:sz w:val="20"/>
                <w:szCs w:val="20"/>
                <w:lang w:eastAsia="es-MX"/>
              </w:rPr>
              <w:t>1</w:t>
            </w:r>
          </w:p>
        </w:tc>
        <w:tc>
          <w:tcPr>
            <w:tcW w:w="6160" w:type="dxa"/>
            <w:tcBorders>
              <w:top w:val="nil"/>
              <w:left w:val="nil"/>
              <w:bottom w:val="single" w:sz="4" w:space="0" w:color="auto"/>
              <w:right w:val="single" w:sz="4" w:space="0" w:color="auto"/>
            </w:tcBorders>
            <w:shd w:val="clear" w:color="000000" w:fill="C0C0C0"/>
            <w:noWrap/>
            <w:vAlign w:val="bottom"/>
            <w:hideMark/>
          </w:tcPr>
          <w:p w:rsidR="00865333" w:rsidRPr="00B358AA" w:rsidRDefault="00865333" w:rsidP="00C41B83">
            <w:pPr>
              <w:spacing w:after="0" w:line="240" w:lineRule="auto"/>
              <w:rPr>
                <w:rFonts w:ascii="Arial Narrow" w:eastAsia="Times New Roman" w:hAnsi="Arial Narrow"/>
                <w:b/>
                <w:bCs/>
                <w:sz w:val="20"/>
                <w:szCs w:val="20"/>
                <w:lang w:eastAsia="es-MX"/>
              </w:rPr>
            </w:pPr>
            <w:r w:rsidRPr="00B358AA">
              <w:rPr>
                <w:rFonts w:ascii="Arial Narrow" w:eastAsia="Times New Roman" w:hAnsi="Arial Narrow"/>
                <w:b/>
                <w:bCs/>
                <w:sz w:val="20"/>
                <w:szCs w:val="20"/>
                <w:lang w:eastAsia="es-MX"/>
              </w:rPr>
              <w:t>Rector</w:t>
            </w:r>
          </w:p>
        </w:tc>
        <w:tc>
          <w:tcPr>
            <w:tcW w:w="1240" w:type="dxa"/>
            <w:tcBorders>
              <w:top w:val="nil"/>
              <w:left w:val="nil"/>
              <w:bottom w:val="single" w:sz="4" w:space="0" w:color="auto"/>
              <w:right w:val="single" w:sz="4" w:space="0" w:color="auto"/>
            </w:tcBorders>
            <w:shd w:val="clear" w:color="000000" w:fill="C0C0C0"/>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sidRPr="00B358AA">
              <w:rPr>
                <w:rFonts w:ascii="Arial Narrow" w:eastAsia="Times New Roman" w:hAnsi="Arial Narrow"/>
                <w:sz w:val="20"/>
                <w:szCs w:val="20"/>
                <w:lang w:eastAsia="es-MX"/>
              </w:rPr>
              <w:t>2</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Secretaria del Rector</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sidRPr="00B358AA">
              <w:rPr>
                <w:rFonts w:ascii="Arial Narrow" w:eastAsia="Times New Roman" w:hAnsi="Arial Narrow"/>
                <w:sz w:val="20"/>
                <w:szCs w:val="20"/>
                <w:lang w:eastAsia="es-MX"/>
              </w:rPr>
              <w:t>3</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Chofer del Rector</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sidRPr="00B358AA">
              <w:rPr>
                <w:rFonts w:ascii="Arial Narrow" w:eastAsia="Times New Roman" w:hAnsi="Arial Narrow"/>
                <w:sz w:val="20"/>
                <w:szCs w:val="20"/>
                <w:lang w:eastAsia="es-MX"/>
              </w:rPr>
              <w:t>4</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Abogado General</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5</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Director de Planeación, Programación y Evaluación</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6</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Subdirector de Planeación y Evaluación</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7</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Oficina de Evaluación y Estadística</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8</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Oficina de Planeación y Presupuesto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9</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Departamento de Desarrollo de Sistemas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10</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Subdirector de Vinculación y Difusión</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11</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xml:space="preserve">Jefe de Departamento de </w:t>
            </w:r>
            <w:r>
              <w:rPr>
                <w:rFonts w:ascii="Arial Narrow" w:eastAsia="Times New Roman" w:hAnsi="Arial Narrow"/>
                <w:sz w:val="20"/>
                <w:szCs w:val="20"/>
                <w:lang w:eastAsia="es-MX"/>
              </w:rPr>
              <w:t>Vinculación</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12</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Oficina de Difusión</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13</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Departamento de Difusión y Extensión</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14</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xml:space="preserve">Jefe de Departamento de </w:t>
            </w:r>
            <w:r>
              <w:rPr>
                <w:rFonts w:ascii="Arial Narrow" w:eastAsia="Times New Roman" w:hAnsi="Arial Narrow"/>
                <w:sz w:val="20"/>
                <w:szCs w:val="20"/>
                <w:lang w:eastAsia="es-MX"/>
              </w:rPr>
              <w:t>Incubadora de Empresas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15</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xml:space="preserve">Jefe de </w:t>
            </w:r>
            <w:r>
              <w:rPr>
                <w:rFonts w:ascii="Arial Narrow" w:eastAsia="Times New Roman" w:hAnsi="Arial Narrow"/>
                <w:sz w:val="20"/>
                <w:szCs w:val="20"/>
                <w:lang w:eastAsia="es-MX"/>
              </w:rPr>
              <w:t>Oficina</w:t>
            </w:r>
            <w:r w:rsidRPr="00B358AA">
              <w:rPr>
                <w:rFonts w:ascii="Arial Narrow" w:eastAsia="Times New Roman" w:hAnsi="Arial Narrow"/>
                <w:sz w:val="20"/>
                <w:szCs w:val="20"/>
                <w:lang w:eastAsia="es-MX"/>
              </w:rPr>
              <w:t xml:space="preserve"> de </w:t>
            </w:r>
            <w:r>
              <w:rPr>
                <w:rFonts w:ascii="Arial Narrow" w:eastAsia="Times New Roman" w:hAnsi="Arial Narrow"/>
                <w:sz w:val="20"/>
                <w:szCs w:val="20"/>
                <w:lang w:eastAsia="es-MX"/>
              </w:rPr>
              <w:t>Incubadora de Empresas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16</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Departamento de Servicios Médicos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17</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Enfermera</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p>
        </w:tc>
        <w:tc>
          <w:tcPr>
            <w:tcW w:w="6160" w:type="dxa"/>
            <w:tcBorders>
              <w:top w:val="nil"/>
              <w:left w:val="nil"/>
              <w:bottom w:val="single" w:sz="4" w:space="0" w:color="auto"/>
              <w:right w:val="single" w:sz="4" w:space="0" w:color="auto"/>
            </w:tcBorders>
            <w:shd w:val="clear" w:color="auto" w:fill="auto"/>
            <w:noWrap/>
            <w:vAlign w:val="bottom"/>
            <w:hideMark/>
          </w:tcPr>
          <w:p w:rsidR="00865333" w:rsidRDefault="00865333" w:rsidP="00C41B83">
            <w:pPr>
              <w:spacing w:after="0" w:line="240" w:lineRule="auto"/>
              <w:rPr>
                <w:rFonts w:ascii="Arial Narrow" w:eastAsia="Times New Roman" w:hAnsi="Arial Narrow"/>
                <w:sz w:val="20"/>
                <w:szCs w:val="20"/>
                <w:lang w:eastAsia="es-MX"/>
              </w:rPr>
            </w:pP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000000" w:fill="C0C0C0"/>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18</w:t>
            </w:r>
          </w:p>
        </w:tc>
        <w:tc>
          <w:tcPr>
            <w:tcW w:w="6160" w:type="dxa"/>
            <w:tcBorders>
              <w:top w:val="nil"/>
              <w:left w:val="nil"/>
              <w:bottom w:val="single" w:sz="4" w:space="0" w:color="auto"/>
              <w:right w:val="single" w:sz="4" w:space="0" w:color="auto"/>
            </w:tcBorders>
            <w:shd w:val="clear" w:color="000000" w:fill="C0C0C0"/>
            <w:noWrap/>
            <w:vAlign w:val="bottom"/>
            <w:hideMark/>
          </w:tcPr>
          <w:p w:rsidR="00865333" w:rsidRPr="00B358AA" w:rsidRDefault="00865333" w:rsidP="00C41B83">
            <w:pPr>
              <w:spacing w:after="0" w:line="240" w:lineRule="auto"/>
              <w:rPr>
                <w:rFonts w:ascii="Arial Narrow" w:eastAsia="Times New Roman" w:hAnsi="Arial Narrow"/>
                <w:b/>
                <w:bCs/>
                <w:sz w:val="20"/>
                <w:szCs w:val="20"/>
                <w:lang w:eastAsia="es-MX"/>
              </w:rPr>
            </w:pPr>
            <w:r w:rsidRPr="00B358AA">
              <w:rPr>
                <w:rFonts w:ascii="Arial Narrow" w:eastAsia="Times New Roman" w:hAnsi="Arial Narrow"/>
                <w:b/>
                <w:bCs/>
                <w:sz w:val="20"/>
                <w:szCs w:val="20"/>
                <w:lang w:eastAsia="es-MX"/>
              </w:rPr>
              <w:t>Secretario Académico</w:t>
            </w:r>
          </w:p>
        </w:tc>
        <w:tc>
          <w:tcPr>
            <w:tcW w:w="1240" w:type="dxa"/>
            <w:tcBorders>
              <w:top w:val="nil"/>
              <w:left w:val="nil"/>
              <w:bottom w:val="single" w:sz="4" w:space="0" w:color="auto"/>
              <w:right w:val="single" w:sz="4" w:space="0" w:color="auto"/>
            </w:tcBorders>
            <w:shd w:val="clear" w:color="000000" w:fill="C0C0C0"/>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19</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xml:space="preserve">Secretaria del </w:t>
            </w:r>
            <w:proofErr w:type="spellStart"/>
            <w:r w:rsidRPr="00B358AA">
              <w:rPr>
                <w:rFonts w:ascii="Arial Narrow" w:eastAsia="Times New Roman" w:hAnsi="Arial Narrow"/>
                <w:sz w:val="20"/>
                <w:szCs w:val="20"/>
                <w:lang w:eastAsia="es-MX"/>
              </w:rPr>
              <w:t>Srio</w:t>
            </w:r>
            <w:proofErr w:type="spellEnd"/>
            <w:r w:rsidRPr="00B358AA">
              <w:rPr>
                <w:rFonts w:ascii="Arial Narrow" w:eastAsia="Times New Roman" w:hAnsi="Arial Narrow"/>
                <w:sz w:val="20"/>
                <w:szCs w:val="20"/>
                <w:lang w:eastAsia="es-MX"/>
              </w:rPr>
              <w:t>. Académico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20</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xml:space="preserve">Director de Programa Académico </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62561B" w:rsidP="00C41B83">
            <w:pPr>
              <w:spacing w:after="0" w:line="240" w:lineRule="auto"/>
              <w:jc w:val="center"/>
            </w:pPr>
            <w:r>
              <w:t>6</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21</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Asistente Administrativo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2</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22</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Oficina de Laboratorio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2</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23</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Departamento de Investigación y Desarrollo Tecnológico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24</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Departamento de Asesorías y Tutorías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25</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Departamento de Desarrollo Docente</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26</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Asistente Administrativo de Desarrollo Docente</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27</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Oficina de Actividades Culturales y Deportivas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28</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w:t>
            </w:r>
            <w:r>
              <w:rPr>
                <w:rFonts w:ascii="Arial Narrow" w:eastAsia="Times New Roman" w:hAnsi="Arial Narrow"/>
                <w:sz w:val="20"/>
                <w:szCs w:val="20"/>
                <w:lang w:eastAsia="es-MX"/>
              </w:rPr>
              <w:t xml:space="preserve"> Departamento de Control Escolar</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29</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Oficina de Control Escolar</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30</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Asistente Administrativo de Control Escolar</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31</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Departamento de Idiomas y Educación Continua</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32</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Oficina de Idiomas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3E2053" w:rsidTr="00C41B83">
        <w:trPr>
          <w:trHeight w:val="255"/>
        </w:trPr>
        <w:tc>
          <w:tcPr>
            <w:tcW w:w="396"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33</w:t>
            </w:r>
          </w:p>
        </w:tc>
        <w:tc>
          <w:tcPr>
            <w:tcW w:w="6160" w:type="dxa"/>
            <w:tcBorders>
              <w:top w:val="single" w:sz="4" w:space="0" w:color="auto"/>
              <w:left w:val="nil"/>
              <w:bottom w:val="single" w:sz="4" w:space="0" w:color="auto"/>
              <w:right w:val="single" w:sz="4" w:space="0" w:color="auto"/>
            </w:tcBorders>
            <w:shd w:val="clear" w:color="000000" w:fill="auto"/>
            <w:noWrap/>
            <w:vAlign w:val="bottom"/>
          </w:tcPr>
          <w:p w:rsidR="00865333"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Oficina de Sistemas</w:t>
            </w:r>
          </w:p>
        </w:tc>
        <w:tc>
          <w:tcPr>
            <w:tcW w:w="1240" w:type="dxa"/>
            <w:tcBorders>
              <w:top w:val="single" w:sz="4" w:space="0" w:color="auto"/>
              <w:left w:val="nil"/>
              <w:bottom w:val="single" w:sz="4" w:space="0" w:color="auto"/>
              <w:right w:val="single" w:sz="4" w:space="0" w:color="auto"/>
            </w:tcBorders>
            <w:shd w:val="clear" w:color="000000" w:fill="auto"/>
            <w:noWrap/>
            <w:vAlign w:val="bottom"/>
          </w:tcPr>
          <w:p w:rsidR="00865333" w:rsidRPr="006A4CAD" w:rsidRDefault="00865333" w:rsidP="00C41B83">
            <w:pPr>
              <w:spacing w:after="0" w:line="240" w:lineRule="auto"/>
              <w:jc w:val="center"/>
            </w:pPr>
            <w:r w:rsidRPr="006A4CAD">
              <w:t>2</w:t>
            </w:r>
          </w:p>
        </w:tc>
      </w:tr>
      <w:tr w:rsidR="00865333" w:rsidRPr="003E2053" w:rsidTr="00C41B83">
        <w:trPr>
          <w:trHeight w:val="255"/>
        </w:trPr>
        <w:tc>
          <w:tcPr>
            <w:tcW w:w="396"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34</w:t>
            </w:r>
          </w:p>
        </w:tc>
        <w:tc>
          <w:tcPr>
            <w:tcW w:w="6160" w:type="dxa"/>
            <w:tcBorders>
              <w:top w:val="single" w:sz="4" w:space="0" w:color="auto"/>
              <w:left w:val="nil"/>
              <w:bottom w:val="single" w:sz="4" w:space="0" w:color="auto"/>
              <w:right w:val="single" w:sz="4" w:space="0" w:color="auto"/>
            </w:tcBorders>
            <w:shd w:val="clear" w:color="000000" w:fill="auto"/>
            <w:noWrap/>
            <w:vAlign w:val="bottom"/>
            <w:hideMark/>
          </w:tcPr>
          <w:p w:rsidR="00865333" w:rsidRPr="003E2053"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Profesor de Tiempo Completo A</w:t>
            </w:r>
          </w:p>
        </w:tc>
        <w:tc>
          <w:tcPr>
            <w:tcW w:w="1240" w:type="dxa"/>
            <w:tcBorders>
              <w:top w:val="single" w:sz="4" w:space="0" w:color="auto"/>
              <w:left w:val="nil"/>
              <w:bottom w:val="single" w:sz="4" w:space="0" w:color="auto"/>
              <w:right w:val="single" w:sz="4" w:space="0" w:color="auto"/>
            </w:tcBorders>
            <w:shd w:val="clear" w:color="000000" w:fill="auto"/>
            <w:noWrap/>
            <w:vAlign w:val="bottom"/>
            <w:hideMark/>
          </w:tcPr>
          <w:p w:rsidR="00865333" w:rsidRPr="006A4CAD" w:rsidRDefault="00865333" w:rsidP="0062561B">
            <w:pPr>
              <w:spacing w:after="0" w:line="240" w:lineRule="auto"/>
              <w:jc w:val="center"/>
            </w:pPr>
            <w:r w:rsidRPr="006A4CAD">
              <w:t>3</w:t>
            </w:r>
            <w:r w:rsidR="0062561B">
              <w:t>2</w:t>
            </w:r>
          </w:p>
        </w:tc>
      </w:tr>
      <w:tr w:rsidR="00865333" w:rsidRPr="003E2053" w:rsidTr="00C41B83">
        <w:trPr>
          <w:trHeight w:val="255"/>
        </w:trPr>
        <w:tc>
          <w:tcPr>
            <w:tcW w:w="396"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35</w:t>
            </w:r>
          </w:p>
        </w:tc>
        <w:tc>
          <w:tcPr>
            <w:tcW w:w="6160" w:type="dxa"/>
            <w:tcBorders>
              <w:top w:val="single" w:sz="4" w:space="0" w:color="auto"/>
              <w:left w:val="nil"/>
              <w:bottom w:val="single" w:sz="4" w:space="0" w:color="auto"/>
              <w:right w:val="single" w:sz="4" w:space="0" w:color="auto"/>
            </w:tcBorders>
            <w:shd w:val="clear" w:color="000000" w:fill="auto"/>
            <w:noWrap/>
            <w:vAlign w:val="bottom"/>
            <w:hideMark/>
          </w:tcPr>
          <w:p w:rsidR="00865333" w:rsidRPr="003E2053"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Profesor de Tiempo Completo B</w:t>
            </w:r>
          </w:p>
        </w:tc>
        <w:tc>
          <w:tcPr>
            <w:tcW w:w="1240" w:type="dxa"/>
            <w:tcBorders>
              <w:top w:val="single" w:sz="4" w:space="0" w:color="auto"/>
              <w:left w:val="nil"/>
              <w:bottom w:val="single" w:sz="4" w:space="0" w:color="auto"/>
              <w:right w:val="single" w:sz="4" w:space="0" w:color="auto"/>
            </w:tcBorders>
            <w:shd w:val="clear" w:color="000000" w:fill="auto"/>
            <w:noWrap/>
            <w:vAlign w:val="bottom"/>
            <w:hideMark/>
          </w:tcPr>
          <w:p w:rsidR="00865333" w:rsidRPr="006A4CAD" w:rsidRDefault="00865333" w:rsidP="00C41B83">
            <w:pPr>
              <w:spacing w:after="0" w:line="240" w:lineRule="auto"/>
              <w:jc w:val="center"/>
            </w:pPr>
            <w:r w:rsidRPr="006A4CAD">
              <w:t>2</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000000" w:fill="C0C0C0"/>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36</w:t>
            </w:r>
          </w:p>
        </w:tc>
        <w:tc>
          <w:tcPr>
            <w:tcW w:w="6160" w:type="dxa"/>
            <w:tcBorders>
              <w:top w:val="nil"/>
              <w:left w:val="nil"/>
              <w:bottom w:val="single" w:sz="4" w:space="0" w:color="auto"/>
              <w:right w:val="single" w:sz="4" w:space="0" w:color="auto"/>
            </w:tcBorders>
            <w:shd w:val="clear" w:color="000000" w:fill="C0C0C0"/>
            <w:noWrap/>
            <w:vAlign w:val="bottom"/>
            <w:hideMark/>
          </w:tcPr>
          <w:p w:rsidR="00865333" w:rsidRPr="00B358AA" w:rsidRDefault="00865333" w:rsidP="00C41B83">
            <w:pPr>
              <w:spacing w:after="0" w:line="240" w:lineRule="auto"/>
              <w:rPr>
                <w:rFonts w:ascii="Arial Narrow" w:eastAsia="Times New Roman" w:hAnsi="Arial Narrow"/>
                <w:b/>
                <w:bCs/>
                <w:sz w:val="20"/>
                <w:szCs w:val="20"/>
                <w:lang w:eastAsia="es-MX"/>
              </w:rPr>
            </w:pPr>
            <w:r w:rsidRPr="00B358AA">
              <w:rPr>
                <w:rFonts w:ascii="Arial Narrow" w:eastAsia="Times New Roman" w:hAnsi="Arial Narrow"/>
                <w:b/>
                <w:bCs/>
                <w:sz w:val="20"/>
                <w:szCs w:val="20"/>
                <w:lang w:eastAsia="es-MX"/>
              </w:rPr>
              <w:t>Secretario Administrativo</w:t>
            </w:r>
          </w:p>
        </w:tc>
        <w:tc>
          <w:tcPr>
            <w:tcW w:w="1240" w:type="dxa"/>
            <w:tcBorders>
              <w:top w:val="nil"/>
              <w:left w:val="nil"/>
              <w:bottom w:val="single" w:sz="4" w:space="0" w:color="auto"/>
              <w:right w:val="single" w:sz="4" w:space="0" w:color="auto"/>
            </w:tcBorders>
            <w:shd w:val="clear" w:color="000000" w:fill="C0C0C0"/>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37</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Subdirector Administrativo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38</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Secretaria del Secretario</w:t>
            </w:r>
            <w:r w:rsidRPr="00B358AA">
              <w:rPr>
                <w:rFonts w:ascii="Arial Narrow" w:eastAsia="Times New Roman" w:hAnsi="Arial Narrow"/>
                <w:sz w:val="20"/>
                <w:szCs w:val="20"/>
                <w:lang w:eastAsia="es-MX"/>
              </w:rPr>
              <w:t xml:space="preserve"> Administrativo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39</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Departamento de Recursos Financieros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40</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Oficina de Contabilidad</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41</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Tesorero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lastRenderedPageBreak/>
              <w:t>42</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Departamento de Recursos Humanos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43</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Oficina de Recursos Humanos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44</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Departamento de Recursos Materiales y Servicios Generales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45</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Oficina de Compras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center"/>
              <w:rPr>
                <w:rFonts w:ascii="Arial Narrow" w:eastAsia="Times New Roman" w:hAnsi="Arial Narrow"/>
                <w:sz w:val="20"/>
                <w:szCs w:val="20"/>
                <w:lang w:eastAsia="es-MX"/>
              </w:rPr>
            </w:pPr>
            <w:r>
              <w:rPr>
                <w:rFonts w:ascii="Arial Narrow" w:eastAsia="Times New Roman" w:hAnsi="Arial Narrow"/>
                <w:sz w:val="20"/>
                <w:szCs w:val="20"/>
                <w:lang w:eastAsia="es-MX"/>
              </w:rPr>
              <w:t xml:space="preserve"> 46</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xml:space="preserve">Jefe de Oficina de Almacén </w:t>
            </w:r>
            <w:r>
              <w:rPr>
                <w:rFonts w:ascii="Arial Narrow" w:eastAsia="Times New Roman" w:hAnsi="Arial Narrow"/>
                <w:sz w:val="20"/>
                <w:szCs w:val="20"/>
                <w:lang w:eastAsia="es-MX"/>
              </w:rPr>
              <w:t>y Activo Fijo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47</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Departamento de Soporte Técnico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48</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Jefe de Departamento de Infraestructura</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49</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Técnico en Mantenimiento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2</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50</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Jefe de Oficina de Biblioteca</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right"/>
              <w:rPr>
                <w:rFonts w:ascii="Arial Narrow" w:eastAsia="Times New Roman" w:hAnsi="Arial Narrow"/>
                <w:sz w:val="20"/>
                <w:szCs w:val="20"/>
                <w:lang w:eastAsia="es-MX"/>
              </w:rPr>
            </w:pPr>
            <w:r>
              <w:rPr>
                <w:rFonts w:ascii="Arial Narrow" w:eastAsia="Times New Roman" w:hAnsi="Arial Narrow"/>
                <w:sz w:val="20"/>
                <w:szCs w:val="20"/>
                <w:lang w:eastAsia="es-MX"/>
              </w:rPr>
              <w:t>51</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Chofer Servicios Varios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 xml:space="preserve"> 52</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Pr>
                <w:rFonts w:ascii="Arial Narrow" w:eastAsia="Times New Roman" w:hAnsi="Arial Narrow"/>
                <w:sz w:val="20"/>
                <w:szCs w:val="20"/>
                <w:lang w:eastAsia="es-MX"/>
              </w:rPr>
              <w:t>Chofer Administrativo</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6A4CAD" w:rsidRDefault="00865333" w:rsidP="00C41B83">
            <w:pPr>
              <w:spacing w:after="0" w:line="240" w:lineRule="auto"/>
              <w:jc w:val="center"/>
            </w:pPr>
            <w:r w:rsidRPr="006A4CAD">
              <w:t>1</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center"/>
              <w:rPr>
                <w:rFonts w:ascii="Arial Narrow" w:eastAsia="Times New Roman" w:hAnsi="Arial Narrow"/>
                <w:sz w:val="20"/>
                <w:szCs w:val="20"/>
                <w:lang w:eastAsia="es-MX"/>
              </w:rPr>
            </w:pPr>
            <w:r w:rsidRPr="00B358AA">
              <w:rPr>
                <w:rFonts w:ascii="Arial Narrow" w:eastAsia="Times New Roman" w:hAnsi="Arial Narrow"/>
                <w:sz w:val="20"/>
                <w:szCs w:val="20"/>
                <w:lang w:eastAsia="es-MX"/>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center"/>
              <w:rPr>
                <w:rFonts w:ascii="Arial Narrow" w:eastAsia="Times New Roman" w:hAnsi="Arial Narrow"/>
                <w:sz w:val="20"/>
                <w:szCs w:val="20"/>
                <w:lang w:eastAsia="es-MX"/>
              </w:rPr>
            </w:pPr>
            <w:r>
              <w:rPr>
                <w:rFonts w:ascii="Arial Narrow" w:eastAsia="Times New Roman" w:hAnsi="Arial Narrow"/>
                <w:sz w:val="20"/>
                <w:szCs w:val="20"/>
                <w:lang w:eastAsia="es-MX"/>
              </w:rPr>
              <w:t>93</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w:t>
            </w:r>
          </w:p>
        </w:tc>
        <w:tc>
          <w:tcPr>
            <w:tcW w:w="6160" w:type="dxa"/>
            <w:tcBorders>
              <w:top w:val="nil"/>
              <w:left w:val="nil"/>
              <w:bottom w:val="single" w:sz="4" w:space="0" w:color="auto"/>
              <w:right w:val="single" w:sz="4" w:space="0" w:color="auto"/>
            </w:tcBorders>
            <w:shd w:val="clear" w:color="auto" w:fill="auto"/>
            <w:vAlign w:val="center"/>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Profesor de Asignatura 15 horas semanales.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center"/>
              <w:rPr>
                <w:rFonts w:ascii="Arial Narrow" w:eastAsia="Times New Roman" w:hAnsi="Arial Narrow"/>
                <w:sz w:val="20"/>
                <w:szCs w:val="20"/>
                <w:lang w:eastAsia="es-MX"/>
              </w:rPr>
            </w:pPr>
            <w:r w:rsidRPr="00B358AA">
              <w:rPr>
                <w:rFonts w:ascii="Arial Narrow" w:eastAsia="Times New Roman" w:hAnsi="Arial Narrow"/>
                <w:sz w:val="20"/>
                <w:szCs w:val="20"/>
                <w:lang w:eastAsia="es-MX"/>
              </w:rPr>
              <w:t> </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H/S/M 28 por cada grupo de 30 estudiantes</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center"/>
              <w:rPr>
                <w:rFonts w:ascii="Arial Narrow" w:eastAsia="Times New Roman" w:hAnsi="Arial Narrow"/>
                <w:sz w:val="20"/>
                <w:szCs w:val="20"/>
                <w:lang w:eastAsia="es-MX"/>
              </w:rPr>
            </w:pPr>
            <w:r w:rsidRPr="00B358AA">
              <w:rPr>
                <w:rFonts w:ascii="Arial Narrow" w:eastAsia="Times New Roman" w:hAnsi="Arial Narrow"/>
                <w:sz w:val="20"/>
                <w:szCs w:val="20"/>
                <w:lang w:eastAsia="es-MX"/>
              </w:rPr>
              <w:t> </w:t>
            </w:r>
          </w:p>
        </w:tc>
      </w:tr>
      <w:tr w:rsidR="00865333" w:rsidRPr="00B358AA" w:rsidTr="00C41B83">
        <w:trPr>
          <w:trHeight w:val="255"/>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 </w:t>
            </w:r>
          </w:p>
        </w:tc>
        <w:tc>
          <w:tcPr>
            <w:tcW w:w="616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rPr>
                <w:rFonts w:ascii="Arial Narrow" w:eastAsia="Times New Roman" w:hAnsi="Arial Narrow"/>
                <w:sz w:val="20"/>
                <w:szCs w:val="20"/>
                <w:lang w:eastAsia="es-MX"/>
              </w:rPr>
            </w:pPr>
            <w:r w:rsidRPr="00B358AA">
              <w:rPr>
                <w:rFonts w:ascii="Arial Narrow" w:eastAsia="Times New Roman" w:hAnsi="Arial Narrow"/>
                <w:sz w:val="20"/>
                <w:szCs w:val="20"/>
                <w:lang w:eastAsia="es-MX"/>
              </w:rPr>
              <w:t>Profesor de tiempo completo 1X30 Estudiantes (474/30=16) 2011, 900/30=30 2012</w:t>
            </w:r>
          </w:p>
        </w:tc>
        <w:tc>
          <w:tcPr>
            <w:tcW w:w="1240" w:type="dxa"/>
            <w:tcBorders>
              <w:top w:val="nil"/>
              <w:left w:val="nil"/>
              <w:bottom w:val="single" w:sz="4" w:space="0" w:color="auto"/>
              <w:right w:val="single" w:sz="4" w:space="0" w:color="auto"/>
            </w:tcBorders>
            <w:shd w:val="clear" w:color="auto" w:fill="auto"/>
            <w:noWrap/>
            <w:vAlign w:val="bottom"/>
            <w:hideMark/>
          </w:tcPr>
          <w:p w:rsidR="00865333" w:rsidRPr="00B358AA" w:rsidRDefault="00865333" w:rsidP="00C41B83">
            <w:pPr>
              <w:spacing w:after="0" w:line="240" w:lineRule="auto"/>
              <w:jc w:val="center"/>
              <w:rPr>
                <w:rFonts w:ascii="Arial Narrow" w:eastAsia="Times New Roman" w:hAnsi="Arial Narrow"/>
                <w:sz w:val="20"/>
                <w:szCs w:val="20"/>
                <w:lang w:eastAsia="es-MX"/>
              </w:rPr>
            </w:pPr>
            <w:r w:rsidRPr="00B358AA">
              <w:rPr>
                <w:rFonts w:ascii="Arial Narrow" w:eastAsia="Times New Roman" w:hAnsi="Arial Narrow"/>
                <w:sz w:val="20"/>
                <w:szCs w:val="20"/>
                <w:lang w:eastAsia="es-MX"/>
              </w:rPr>
              <w:t> </w:t>
            </w:r>
          </w:p>
        </w:tc>
      </w:tr>
    </w:tbl>
    <w:p w:rsidR="00865333" w:rsidRDefault="00865333" w:rsidP="007D1E76">
      <w:pPr>
        <w:spacing w:after="0" w:line="240" w:lineRule="auto"/>
        <w:jc w:val="both"/>
        <w:rPr>
          <w:rFonts w:cs="Calibri"/>
        </w:rPr>
      </w:pPr>
    </w:p>
    <w:p w:rsidR="00865333" w:rsidRDefault="00865333" w:rsidP="007D1E76">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g)</w:t>
      </w:r>
      <w:r w:rsidRPr="00865333">
        <w:rPr>
          <w:rFonts w:cs="Calibri"/>
        </w:rPr>
        <w:t xml:space="preserve"> Fideicomisos, mandatos y análogos de los cuales es fideicomitente o fiduciario.</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cuenta con fideicomisos, mandatos y análogos.</w:t>
      </w:r>
    </w:p>
    <w:p w:rsidR="007D1E76" w:rsidRPr="00E74967" w:rsidRDefault="007D1E76" w:rsidP="007D1E76">
      <w:pPr>
        <w:spacing w:after="0" w:line="240" w:lineRule="auto"/>
        <w:jc w:val="both"/>
        <w:rPr>
          <w:rFonts w:cs="Calibri"/>
        </w:rPr>
      </w:pPr>
    </w:p>
    <w:p w:rsidR="00865333" w:rsidRPr="00865333" w:rsidRDefault="00865333" w:rsidP="00865333">
      <w:pPr>
        <w:spacing w:after="0" w:line="240" w:lineRule="auto"/>
        <w:jc w:val="both"/>
        <w:rPr>
          <w:rFonts w:cs="Calibri"/>
          <w:b/>
        </w:rPr>
      </w:pPr>
      <w:r w:rsidRPr="00865333">
        <w:rPr>
          <w:rFonts w:cs="Calibri"/>
          <w:b/>
        </w:rPr>
        <w:t>5. Bases de Preparación de los Estados Financieros: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a)</w:t>
      </w:r>
      <w:r w:rsidRPr="00865333">
        <w:rPr>
          <w:rFonts w:cs="Calibri"/>
        </w:rPr>
        <w:t xml:space="preserve"> Si se ha observado la normatividad emitida por el CONAC y las disposiciones legales aplicables.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Las bases de preparación de los Estados Financieros observan en cierta medida la normatividad emitida por el CONAC y las disposiciones legales aplicables.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b</w:t>
      </w:r>
      <w:r w:rsidRPr="00865333">
        <w:rPr>
          <w:rFonts w:cs="Calibri"/>
        </w:rPr>
        <w:t>)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c)</w:t>
      </w:r>
      <w:r w:rsidRPr="00865333">
        <w:rPr>
          <w:rFonts w:cs="Calibri"/>
        </w:rPr>
        <w:t xml:space="preserve"> Postulados básicos.</w:t>
      </w:r>
    </w:p>
    <w:p w:rsidR="00865333" w:rsidRPr="00865333" w:rsidRDefault="00865333" w:rsidP="00865333">
      <w:pPr>
        <w:spacing w:after="0" w:line="240" w:lineRule="auto"/>
        <w:jc w:val="both"/>
        <w:rPr>
          <w:rFonts w:cs="Calibri"/>
        </w:rPr>
      </w:pPr>
    </w:p>
    <w:p w:rsidR="00865333" w:rsidRDefault="00865333" w:rsidP="00865333">
      <w:pPr>
        <w:spacing w:after="0" w:line="240" w:lineRule="auto"/>
        <w:jc w:val="both"/>
        <w:rPr>
          <w:rFonts w:cs="Calibri"/>
        </w:rPr>
      </w:pPr>
      <w:r w:rsidRPr="00865333">
        <w:rPr>
          <w:rFonts w:cs="Calibri"/>
        </w:rPr>
        <w:t>Las bases de preparación de los Estados Financieros aplican los Postulados Básicos de registro contable incluyendo  el devengo del ingreso.</w:t>
      </w:r>
    </w:p>
    <w:p w:rsidR="00697331" w:rsidRPr="00865333" w:rsidRDefault="00697331"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d)</w:t>
      </w:r>
      <w:r w:rsidRPr="00865333">
        <w:rPr>
          <w:rFonts w:cs="Calibri"/>
        </w:rPr>
        <w:t xml:space="preserve"> Normatividad supletoria. </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 xml:space="preserve">Al recibir ingresos de origen Federal, la Universidad se encuentra sujeta a la aplicación de las leyes federales para la correcta aplicación y manejo de los mismos, así como a las reglas de carácter general que para cada </w:t>
      </w:r>
      <w:r w:rsidRPr="00865333">
        <w:rPr>
          <w:rFonts w:cs="Calibri"/>
        </w:rPr>
        <w:lastRenderedPageBreak/>
        <w:t>uno de los recursos apliquen, en el caso del Fondo de Aportación Múltiple se considera la Ley de Coordinación Fiscal para su ejercicio.</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e)</w:t>
      </w:r>
      <w:r w:rsidRPr="00865333">
        <w:rPr>
          <w:rFonts w:cs="Calibri"/>
        </w:rPr>
        <w:t xml:space="preserve"> Para las entidades que por primera vez estén implementando la base devengado de acuerdo a la Ley de Contabilidad, deberán:</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*Revelar las nuevas políticas de reconocimiento:</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La Universidad Politécnica del bicentenario trabaja con la base de presupuesto devengado desde su inicio de operaciones en 2011.</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*Plan de implementación:</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No aplica</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*Revelar los cambios en las políticas, la clasificación y medición de las mismas, así como su impacto en la información financiera:</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No aplica</w:t>
      </w:r>
    </w:p>
    <w:p w:rsidR="00865333" w:rsidRDefault="00865333"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Se informará sobre:</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a)</w:t>
      </w:r>
      <w:r w:rsidRPr="00865333">
        <w:rPr>
          <w:rFonts w:cs="Calibri"/>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Los activos se registran a su costo de adquisición.</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proofErr w:type="gramStart"/>
      <w:r w:rsidRPr="00865333">
        <w:rPr>
          <w:rFonts w:cs="Calibri"/>
          <w:b/>
        </w:rPr>
        <w:t>b)</w:t>
      </w:r>
      <w:r w:rsidRPr="00865333">
        <w:rPr>
          <w:rFonts w:cs="Calibri"/>
        </w:rPr>
        <w:t>Informar</w:t>
      </w:r>
      <w:proofErr w:type="gramEnd"/>
      <w:r w:rsidRPr="00865333">
        <w:rPr>
          <w:rFonts w:cs="Calibri"/>
        </w:rPr>
        <w:t xml:space="preserve"> sobre la realización de operaciones en el extranjero y de sus efectos en la información financiera gubernamental:</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realiza operaciones en el extranjero.</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c)</w:t>
      </w:r>
      <w:r w:rsidRPr="00865333">
        <w:rPr>
          <w:rFonts w:cs="Calibri"/>
        </w:rPr>
        <w:t xml:space="preserve"> Método de valuación de la inversión en acciones de Compañías subsidiarias no consolidadas y asociadas: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cuenta con inversión en acciones de Compañías subsidiarias no consolidadas y asociadas.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d)</w:t>
      </w:r>
      <w:r w:rsidRPr="00865333">
        <w:rPr>
          <w:rFonts w:cs="Calibri"/>
        </w:rPr>
        <w:t xml:space="preserve"> Sistema y método de valuación de inventarios y costo de lo vendido:</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cuenta con inventarios.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e)</w:t>
      </w:r>
      <w:r w:rsidRPr="00865333">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cuenta con reserva actuarial, valor presente de los ingresos esperados comparado con el valor presente de la estimación de gastos tanto de los beneficiarios actuales como futuros.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f)</w:t>
      </w:r>
      <w:r w:rsidRPr="00865333">
        <w:rPr>
          <w:rFonts w:cs="Calibri"/>
        </w:rPr>
        <w:t xml:space="preserve"> Provisiones: objetivo de su creación, monto y plazo:</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ha realizado provisiones.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g)</w:t>
      </w:r>
      <w:r w:rsidRPr="00865333">
        <w:rPr>
          <w:rFonts w:cs="Calibri"/>
        </w:rPr>
        <w:t xml:space="preserve"> Reservas: objetivo de su creación, monto y plazo:</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ha realizado reservas.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h)</w:t>
      </w:r>
      <w:r w:rsidRPr="00865333">
        <w:rPr>
          <w:rFonts w:cs="Calibri"/>
        </w:rPr>
        <w:t xml:space="preserve"> Cambios en políticas contables y corrección de errores junto con la revelación de los efectos que se tendrá en la información financiera del ente público, ya sea retrospectivos o prospectivos: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La Universidad, a partir del ejercicio fiscal de 2011 ha venido presentando la nueva estructura de registro contable y presupuestal normada por el CONAC. Asimismo, las guías contabilizadoras, la matriz de conversión y los nuevos procesos de registro que de ellas emanan han sido aplicadas en el SIHP.</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i)</w:t>
      </w:r>
      <w:r w:rsidRPr="00865333">
        <w:rPr>
          <w:rFonts w:cs="Calibri"/>
        </w:rPr>
        <w:t xml:space="preserve"> Reclasificaciones: Se deben revelar todos aquellos movimientos entre cuentas por efectos de cambios en los tipos de operaciones: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ha realizado reclasificaciones por efectos de cambio en los tipos de operaciones.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b/>
        </w:rPr>
        <w:t>j)</w:t>
      </w:r>
      <w:r w:rsidRPr="00865333">
        <w:rPr>
          <w:rFonts w:cs="Calibri"/>
        </w:rPr>
        <w:t xml:space="preserve"> Depuración y cancelación de saldos:</w:t>
      </w:r>
    </w:p>
    <w:p w:rsidR="00865333" w:rsidRPr="00865333" w:rsidRDefault="00865333" w:rsidP="00865333">
      <w:pPr>
        <w:spacing w:after="0" w:line="240" w:lineRule="auto"/>
        <w:jc w:val="both"/>
        <w:rPr>
          <w:rFonts w:cs="Calibri"/>
        </w:rPr>
      </w:pPr>
    </w:p>
    <w:p w:rsidR="00865333" w:rsidRPr="00865333" w:rsidRDefault="00865333" w:rsidP="00865333">
      <w:pPr>
        <w:spacing w:after="0" w:line="240" w:lineRule="auto"/>
        <w:jc w:val="both"/>
        <w:rPr>
          <w:rFonts w:cs="Calibri"/>
        </w:rPr>
      </w:pPr>
      <w:r w:rsidRPr="00865333">
        <w:rPr>
          <w:rFonts w:cs="Calibri"/>
        </w:rPr>
        <w:t>A la fecha la Universidad no ha realizado depuración y cancelación de saldos.</w:t>
      </w:r>
    </w:p>
    <w:p w:rsidR="002C4AA1" w:rsidRDefault="002C4AA1" w:rsidP="002C4AA1">
      <w:pPr>
        <w:spacing w:after="0" w:line="240" w:lineRule="auto"/>
        <w:jc w:val="both"/>
        <w:rPr>
          <w:rFonts w:cs="Calibri"/>
          <w:b/>
        </w:rPr>
      </w:pPr>
    </w:p>
    <w:p w:rsidR="002C4AA1" w:rsidRPr="002C4AA1" w:rsidRDefault="002C4AA1" w:rsidP="002C4AA1">
      <w:pPr>
        <w:spacing w:after="0" w:line="240" w:lineRule="auto"/>
        <w:jc w:val="both"/>
        <w:rPr>
          <w:rFonts w:cs="Calibri"/>
          <w:b/>
        </w:rPr>
      </w:pPr>
      <w:r w:rsidRPr="002C4AA1">
        <w:rPr>
          <w:rFonts w:cs="Calibri"/>
          <w:b/>
        </w:rPr>
        <w:t>7. Posición en Moneda Extranjera y Protección por Riesgo Cambiario:</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Se informará sobre:</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a)</w:t>
      </w:r>
      <w:r w:rsidRPr="002C4AA1">
        <w:rPr>
          <w:rFonts w:cs="Calibri"/>
        </w:rPr>
        <w:t xml:space="preserve"> Activos en moneda extranjera:</w:t>
      </w:r>
    </w:p>
    <w:p w:rsidR="002C4AA1" w:rsidRPr="002C4AA1" w:rsidRDefault="002C4AA1" w:rsidP="002C4AA1">
      <w:pPr>
        <w:spacing w:after="0" w:line="240" w:lineRule="auto"/>
        <w:jc w:val="both"/>
        <w:rPr>
          <w:rFonts w:cs="Calibri"/>
        </w:rPr>
      </w:pPr>
      <w:r w:rsidRPr="002C4AA1">
        <w:rPr>
          <w:rFonts w:cs="Calibri"/>
        </w:rPr>
        <w:t>A la fecha la Universidad no tiene activos en moneda extranjera.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b)</w:t>
      </w:r>
      <w:r w:rsidRPr="002C4AA1">
        <w:rPr>
          <w:rFonts w:cs="Calibri"/>
        </w:rPr>
        <w:t xml:space="preserve"> Pasivos en moneda extranjera: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A la fecha la Universidad no tiene pasivos en moneda extranjera.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c)</w:t>
      </w:r>
      <w:r w:rsidRPr="002C4AA1">
        <w:rPr>
          <w:rFonts w:cs="Calibri"/>
        </w:rPr>
        <w:t xml:space="preserve"> Posición en moneda extranjera: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A la fecha la Universidad no ha realizado operaciones en moneda extranjera.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 xml:space="preserve">d) </w:t>
      </w:r>
      <w:r w:rsidRPr="002C4AA1">
        <w:rPr>
          <w:rFonts w:cs="Calibri"/>
        </w:rPr>
        <w:t>Tipo de cambio:</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A la fecha la Universidad no ha realizado operaciones en moneda extranjera que impliquen el uso de tipos de cambio.</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 xml:space="preserve">e) </w:t>
      </w:r>
      <w:r w:rsidRPr="002C4AA1">
        <w:rPr>
          <w:rFonts w:cs="Calibri"/>
        </w:rPr>
        <w:t>Equivalente en moneda nacional:</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Lo anterior por cada tipo de moneda extranjera que se encuentre en los rubros de activo y pasivo.</w:t>
      </w:r>
    </w:p>
    <w:p w:rsidR="002C4AA1" w:rsidRPr="002C4AA1" w:rsidRDefault="002C4AA1" w:rsidP="002C4AA1">
      <w:pPr>
        <w:spacing w:after="0" w:line="240" w:lineRule="auto"/>
        <w:jc w:val="both"/>
        <w:rPr>
          <w:rFonts w:cs="Calibri"/>
        </w:rPr>
      </w:pPr>
      <w:r w:rsidRPr="002C4AA1">
        <w:rPr>
          <w:rFonts w:cs="Calibri"/>
        </w:rPr>
        <w:t>Adicionalmente se informará sobre los métodos de protección de riesgo por variaciones en el tipo de cambio.</w:t>
      </w:r>
    </w:p>
    <w:p w:rsidR="007D1E76" w:rsidRPr="00E74967" w:rsidRDefault="007D1E76" w:rsidP="007D1E76">
      <w:pPr>
        <w:spacing w:after="0" w:line="240" w:lineRule="auto"/>
        <w:jc w:val="both"/>
        <w:rPr>
          <w:rFonts w:cs="Calibri"/>
        </w:rPr>
      </w:pPr>
    </w:p>
    <w:p w:rsidR="002C4AA1" w:rsidRPr="002C4AA1" w:rsidRDefault="002C4AA1" w:rsidP="002C4AA1">
      <w:pPr>
        <w:spacing w:after="0" w:line="240" w:lineRule="auto"/>
        <w:jc w:val="both"/>
        <w:rPr>
          <w:rFonts w:cs="Calibri"/>
          <w:b/>
        </w:rPr>
      </w:pPr>
      <w:r w:rsidRPr="002C4AA1">
        <w:rPr>
          <w:rFonts w:cs="Calibri"/>
          <w:b/>
        </w:rPr>
        <w:t>8. Reporte Analítico del Activo:</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Debe mostrar la siguiente información:</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a) Vida útil o porcentajes de depreciación, deterioro o amortización utilizados en los diferentes tipos de activos:</w:t>
      </w:r>
    </w:p>
    <w:p w:rsidR="002C4AA1" w:rsidRDefault="002C4AA1" w:rsidP="002C4AA1">
      <w:pPr>
        <w:spacing w:after="0" w:line="240" w:lineRule="auto"/>
        <w:jc w:val="both"/>
        <w:rPr>
          <w:rFonts w:cs="Calibri"/>
        </w:rPr>
      </w:pPr>
    </w:p>
    <w:tbl>
      <w:tblPr>
        <w:tblW w:w="8752" w:type="dxa"/>
        <w:tblInd w:w="60" w:type="dxa"/>
        <w:tblCellMar>
          <w:left w:w="70" w:type="dxa"/>
          <w:right w:w="70" w:type="dxa"/>
        </w:tblCellMar>
        <w:tblLook w:val="04A0" w:firstRow="1" w:lastRow="0" w:firstColumn="1" w:lastColumn="0" w:noHBand="0" w:noVBand="1"/>
      </w:tblPr>
      <w:tblGrid>
        <w:gridCol w:w="1400"/>
        <w:gridCol w:w="6123"/>
        <w:gridCol w:w="1371"/>
      </w:tblGrid>
      <w:tr w:rsidR="002C4AA1" w:rsidRPr="000C04BE" w:rsidTr="00C41B83">
        <w:trPr>
          <w:trHeight w:val="240"/>
        </w:trPr>
        <w:tc>
          <w:tcPr>
            <w:tcW w:w="1400" w:type="dxa"/>
            <w:tcBorders>
              <w:top w:val="single" w:sz="8" w:space="0" w:color="auto"/>
              <w:left w:val="single" w:sz="8" w:space="0" w:color="auto"/>
              <w:bottom w:val="single" w:sz="4" w:space="0" w:color="auto"/>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CLASE DE ACTIVO</w:t>
            </w:r>
          </w:p>
        </w:tc>
        <w:tc>
          <w:tcPr>
            <w:tcW w:w="6123" w:type="dxa"/>
            <w:tcBorders>
              <w:top w:val="single" w:sz="8" w:space="0" w:color="auto"/>
              <w:left w:val="nil"/>
              <w:bottom w:val="single" w:sz="4" w:space="0" w:color="auto"/>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DETERMINACIÓN DE CUENTAS</w:t>
            </w:r>
          </w:p>
        </w:tc>
        <w:tc>
          <w:tcPr>
            <w:tcW w:w="1229" w:type="dxa"/>
            <w:tcBorders>
              <w:top w:val="single" w:sz="8" w:space="0" w:color="auto"/>
              <w:left w:val="nil"/>
              <w:bottom w:val="single" w:sz="4" w:space="0" w:color="auto"/>
              <w:right w:val="single" w:sz="8"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PORCENTAJE</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5110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MUEBLES DE OFICINA Y ESTANTERIA</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5120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MUEBLES, EXCEPTO DE OFICINA Y ESTANTERIA</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5130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BIENES ARTISTICOS, CULTURALES Y CIENTIFICOS</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5150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EQUIPO DE COMPUTO Y DE TECNOLOGIAS DE LA INFORMACION</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3E1BB0" w:rsidP="00C41B8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33.3</w:t>
            </w:r>
            <w:r w:rsidR="002C4AA1" w:rsidRPr="000C04BE">
              <w:rPr>
                <w:rFonts w:ascii="Arial" w:eastAsia="Times New Roman" w:hAnsi="Arial" w:cs="Arial"/>
                <w:color w:val="000000"/>
                <w:sz w:val="18"/>
                <w:szCs w:val="18"/>
                <w:lang w:eastAsia="es-MX"/>
              </w:rPr>
              <w:t>%</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5190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OTROS MOBILIARIOS Y EQUIPOS DE ADMINISTRACION</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5210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EQUIPO Y APARATOS AUDIOVISUALES</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3E1BB0" w:rsidP="00C41B8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r w:rsidR="002C4AA1" w:rsidRPr="000C04BE">
              <w:rPr>
                <w:rFonts w:ascii="Arial" w:eastAsia="Times New Roman" w:hAnsi="Arial" w:cs="Arial"/>
                <w:color w:val="000000"/>
                <w:sz w:val="18"/>
                <w:szCs w:val="18"/>
                <w:lang w:eastAsia="es-MX"/>
              </w:rPr>
              <w:t>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5220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APARATOS DEPORTIVOS</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3E1BB0" w:rsidP="00C41B8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2C4AA1" w:rsidRPr="000C04BE">
              <w:rPr>
                <w:rFonts w:ascii="Arial" w:eastAsia="Times New Roman" w:hAnsi="Arial" w:cs="Arial"/>
                <w:color w:val="000000"/>
                <w:sz w:val="18"/>
                <w:szCs w:val="18"/>
                <w:lang w:eastAsia="es-MX"/>
              </w:rPr>
              <w:t>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5230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CÁMARAS FOTOGRÁFICAS Y DE VIDEO</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3E1BB0" w:rsidP="00C41B8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w:t>
            </w:r>
            <w:r w:rsidR="002C4AA1" w:rsidRPr="000C04BE">
              <w:rPr>
                <w:rFonts w:ascii="Arial" w:eastAsia="Times New Roman" w:hAnsi="Arial" w:cs="Arial"/>
                <w:color w:val="000000"/>
                <w:sz w:val="18"/>
                <w:szCs w:val="18"/>
                <w:lang w:eastAsia="es-MX"/>
              </w:rPr>
              <w:t>%</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5290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OTROS MOBILIARIOS Y EQUIPO EDUCACIONAL Y RECREATIVO</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3E1BB0" w:rsidP="00C41B8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2C4AA1" w:rsidRPr="000C04BE">
              <w:rPr>
                <w:rFonts w:ascii="Arial" w:eastAsia="Times New Roman" w:hAnsi="Arial" w:cs="Arial"/>
                <w:color w:val="000000"/>
                <w:sz w:val="18"/>
                <w:szCs w:val="18"/>
                <w:lang w:eastAsia="es-MX"/>
              </w:rPr>
              <w:t>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5310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EQUIPO MEDICO Y DE LABORATORIO</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3E1BB0" w:rsidP="00C41B8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2C4AA1" w:rsidRPr="000C04BE">
              <w:rPr>
                <w:rFonts w:ascii="Arial" w:eastAsia="Times New Roman" w:hAnsi="Arial" w:cs="Arial"/>
                <w:color w:val="000000"/>
                <w:sz w:val="18"/>
                <w:szCs w:val="18"/>
                <w:lang w:eastAsia="es-MX"/>
              </w:rPr>
              <w:t>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5320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INSTRUMENTAL MEDICO Y DE LABORATORIO</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3E1BB0" w:rsidP="00C41B8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w:t>
            </w:r>
            <w:r w:rsidR="002C4AA1" w:rsidRPr="000C04BE">
              <w:rPr>
                <w:rFonts w:ascii="Arial" w:eastAsia="Times New Roman" w:hAnsi="Arial" w:cs="Arial"/>
                <w:color w:val="000000"/>
                <w:sz w:val="18"/>
                <w:szCs w:val="18"/>
                <w:lang w:eastAsia="es-MX"/>
              </w:rPr>
              <w:t>%</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5410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AUTOMOVILES Y CAMIONES</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3E1BB0">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2</w:t>
            </w:r>
            <w:r w:rsidR="003E1BB0">
              <w:rPr>
                <w:rFonts w:ascii="Arial" w:eastAsia="Times New Roman" w:hAnsi="Arial" w:cs="Arial"/>
                <w:color w:val="000000"/>
                <w:sz w:val="18"/>
                <w:szCs w:val="18"/>
                <w:lang w:eastAsia="es-MX"/>
              </w:rPr>
              <w:t>5</w:t>
            </w:r>
            <w:r w:rsidRPr="000C04BE">
              <w:rPr>
                <w:rFonts w:ascii="Arial" w:eastAsia="Times New Roman" w:hAnsi="Arial" w:cs="Arial"/>
                <w:color w:val="000000"/>
                <w:sz w:val="18"/>
                <w:szCs w:val="18"/>
                <w:lang w:eastAsia="es-MX"/>
              </w:rPr>
              <w:t>%</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5430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EQUIPO AEROESPACIAL</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 </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5490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OTROS EQUIPOS DE TRANSPORTE</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5510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EQUIPO DE DEFENSA Y SEGUURIDAD</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5610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MAQUINARIA Y EQUIPO AGROPECUARIO</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25%</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5620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MAQUINARIA Y EQUIPO INDUSTRIAL</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5630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MAQUINARIA Y EQUIPO DE CONSTRUCCION</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25%</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5640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SISTEMA DE AIRE ACONDICIONADO</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16%</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5650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EQUIPOS DE COMUNICACIONES Y TELECOM.</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16%</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5660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EQUIPO DE GENERACION ELECTRICA, APARATOS Y ACCESORIOS</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5%</w:t>
            </w:r>
          </w:p>
        </w:tc>
      </w:tr>
      <w:tr w:rsidR="002C4AA1" w:rsidRPr="000C04BE" w:rsidTr="00C41B83">
        <w:trPr>
          <w:trHeight w:val="240"/>
        </w:trPr>
        <w:tc>
          <w:tcPr>
            <w:tcW w:w="1400" w:type="dxa"/>
            <w:tcBorders>
              <w:top w:val="nil"/>
              <w:left w:val="single" w:sz="8" w:space="0" w:color="auto"/>
              <w:bottom w:val="nil"/>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5670</w:t>
            </w:r>
          </w:p>
        </w:tc>
        <w:tc>
          <w:tcPr>
            <w:tcW w:w="6123" w:type="dxa"/>
            <w:tcBorders>
              <w:top w:val="nil"/>
              <w:left w:val="nil"/>
              <w:bottom w:val="nil"/>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HERRAMIENTAS Y MAQUINAS-HERRAMIENTAS</w:t>
            </w:r>
          </w:p>
        </w:tc>
        <w:tc>
          <w:tcPr>
            <w:tcW w:w="1229" w:type="dxa"/>
            <w:tcBorders>
              <w:top w:val="nil"/>
              <w:left w:val="nil"/>
              <w:bottom w:val="nil"/>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r w:rsidR="002C4AA1" w:rsidRPr="000C04BE" w:rsidTr="00C41B83">
        <w:trPr>
          <w:trHeight w:val="255"/>
        </w:trPr>
        <w:tc>
          <w:tcPr>
            <w:tcW w:w="1400" w:type="dxa"/>
            <w:tcBorders>
              <w:top w:val="nil"/>
              <w:left w:val="single" w:sz="8" w:space="0" w:color="auto"/>
              <w:bottom w:val="single" w:sz="8" w:space="0" w:color="auto"/>
              <w:right w:val="single" w:sz="4" w:space="0" w:color="auto"/>
            </w:tcBorders>
            <w:shd w:val="clear" w:color="000000" w:fill="DCE6F1"/>
            <w:noWrap/>
            <w:vAlign w:val="bottom"/>
            <w:hideMark/>
          </w:tcPr>
          <w:p w:rsidR="002C4AA1" w:rsidRPr="000C04BE" w:rsidRDefault="002C4AA1" w:rsidP="00C41B83">
            <w:pPr>
              <w:spacing w:after="0" w:line="240" w:lineRule="auto"/>
              <w:jc w:val="center"/>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5690</w:t>
            </w:r>
          </w:p>
        </w:tc>
        <w:tc>
          <w:tcPr>
            <w:tcW w:w="6123" w:type="dxa"/>
            <w:tcBorders>
              <w:top w:val="nil"/>
              <w:left w:val="nil"/>
              <w:bottom w:val="single" w:sz="8" w:space="0" w:color="auto"/>
              <w:right w:val="single" w:sz="4" w:space="0" w:color="auto"/>
            </w:tcBorders>
            <w:shd w:val="clear" w:color="000000" w:fill="DCE6F1"/>
            <w:noWrap/>
            <w:vAlign w:val="bottom"/>
            <w:hideMark/>
          </w:tcPr>
          <w:p w:rsidR="002C4AA1" w:rsidRPr="000C04BE" w:rsidRDefault="002C4AA1" w:rsidP="00C41B83">
            <w:pPr>
              <w:spacing w:after="0" w:line="240" w:lineRule="auto"/>
              <w:rPr>
                <w:rFonts w:ascii="Arial" w:eastAsia="Times New Roman" w:hAnsi="Arial" w:cs="Arial"/>
                <w:b/>
                <w:bCs/>
                <w:sz w:val="18"/>
                <w:szCs w:val="18"/>
                <w:lang w:eastAsia="es-MX"/>
              </w:rPr>
            </w:pPr>
            <w:r w:rsidRPr="000C04BE">
              <w:rPr>
                <w:rFonts w:ascii="Arial" w:eastAsia="Times New Roman" w:hAnsi="Arial" w:cs="Arial"/>
                <w:b/>
                <w:bCs/>
                <w:sz w:val="18"/>
                <w:szCs w:val="18"/>
                <w:lang w:eastAsia="es-MX"/>
              </w:rPr>
              <w:t>OTROS EQUIPOS</w:t>
            </w:r>
          </w:p>
        </w:tc>
        <w:tc>
          <w:tcPr>
            <w:tcW w:w="1229" w:type="dxa"/>
            <w:tcBorders>
              <w:top w:val="nil"/>
              <w:left w:val="nil"/>
              <w:bottom w:val="single" w:sz="8" w:space="0" w:color="auto"/>
              <w:right w:val="single" w:sz="8" w:space="0" w:color="auto"/>
            </w:tcBorders>
            <w:shd w:val="clear" w:color="000000" w:fill="DCE6F1"/>
            <w:noWrap/>
            <w:vAlign w:val="bottom"/>
            <w:hideMark/>
          </w:tcPr>
          <w:p w:rsidR="002C4AA1" w:rsidRPr="000C04BE" w:rsidRDefault="002C4AA1" w:rsidP="00C41B83">
            <w:pPr>
              <w:spacing w:after="0" w:line="240" w:lineRule="auto"/>
              <w:jc w:val="right"/>
              <w:rPr>
                <w:rFonts w:ascii="Arial" w:eastAsia="Times New Roman" w:hAnsi="Arial" w:cs="Arial"/>
                <w:color w:val="000000"/>
                <w:sz w:val="18"/>
                <w:szCs w:val="18"/>
                <w:lang w:eastAsia="es-MX"/>
              </w:rPr>
            </w:pPr>
            <w:r w:rsidRPr="000C04BE">
              <w:rPr>
                <w:rFonts w:ascii="Arial" w:eastAsia="Times New Roman" w:hAnsi="Arial" w:cs="Arial"/>
                <w:color w:val="000000"/>
                <w:sz w:val="18"/>
                <w:szCs w:val="18"/>
                <w:lang w:eastAsia="es-MX"/>
              </w:rPr>
              <w:t>10%</w:t>
            </w:r>
          </w:p>
        </w:tc>
      </w:tr>
    </w:tbl>
    <w:p w:rsidR="002C4AA1" w:rsidRDefault="002C4AA1" w:rsidP="002C4AA1">
      <w:pPr>
        <w:spacing w:after="0" w:line="240" w:lineRule="auto"/>
        <w:jc w:val="both"/>
        <w:rPr>
          <w:rFonts w:cs="Calibri"/>
        </w:rPr>
      </w:pPr>
    </w:p>
    <w:p w:rsidR="00B92D60" w:rsidRDefault="00B92D60" w:rsidP="002C4AA1">
      <w:pPr>
        <w:spacing w:after="0" w:line="240" w:lineRule="auto"/>
        <w:jc w:val="both"/>
        <w:rPr>
          <w:rFonts w:cs="Calibri"/>
          <w:b/>
        </w:rPr>
      </w:pPr>
    </w:p>
    <w:p w:rsidR="002C4AA1" w:rsidRPr="002C4AA1" w:rsidRDefault="002C4AA1" w:rsidP="002C4AA1">
      <w:pPr>
        <w:spacing w:after="0" w:line="240" w:lineRule="auto"/>
        <w:jc w:val="both"/>
        <w:rPr>
          <w:rFonts w:cs="Calibri"/>
        </w:rPr>
      </w:pPr>
      <w:r w:rsidRPr="002C4AA1">
        <w:rPr>
          <w:rFonts w:cs="Calibri"/>
          <w:b/>
        </w:rPr>
        <w:t>b)</w:t>
      </w:r>
      <w:r w:rsidRPr="002C4AA1">
        <w:rPr>
          <w:rFonts w:cs="Calibri"/>
        </w:rPr>
        <w:t xml:space="preserve"> Cambios en el porcentaje de depreciación o valor residual de los activos: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De conformidad con la norma de CONAC y los alcances del SIHP, actualmente sólo pueden considerarse las 40 clases de activos vigentes.</w:t>
      </w:r>
    </w:p>
    <w:p w:rsidR="00B92D60" w:rsidRDefault="00B92D60" w:rsidP="002C4AA1">
      <w:pPr>
        <w:spacing w:after="0" w:line="240" w:lineRule="auto"/>
        <w:jc w:val="both"/>
        <w:rPr>
          <w:rFonts w:cs="Calibri"/>
          <w:b/>
        </w:rPr>
      </w:pPr>
    </w:p>
    <w:p w:rsidR="002C4AA1" w:rsidRPr="002C4AA1" w:rsidRDefault="002C4AA1" w:rsidP="002C4AA1">
      <w:pPr>
        <w:spacing w:after="0" w:line="240" w:lineRule="auto"/>
        <w:jc w:val="both"/>
        <w:rPr>
          <w:rFonts w:cs="Calibri"/>
        </w:rPr>
      </w:pPr>
      <w:r w:rsidRPr="002C4AA1">
        <w:rPr>
          <w:rFonts w:cs="Calibri"/>
          <w:b/>
        </w:rPr>
        <w:t>c)</w:t>
      </w:r>
      <w:r w:rsidRPr="002C4AA1">
        <w:rPr>
          <w:rFonts w:cs="Calibri"/>
        </w:rPr>
        <w:t xml:space="preserve"> Importe de los gastos capitalizados en el ejercicio, tanto financieros como de investigación y desarrollo:</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Capitalización de activo fijo cuenta de patrimonio 5000</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 xml:space="preserve">d) </w:t>
      </w:r>
      <w:r w:rsidRPr="002C4AA1">
        <w:rPr>
          <w:rFonts w:cs="Calibri"/>
        </w:rPr>
        <w:t>Riegos por tipo de cambio o tipo de interés de las inversiones financieras: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e)</w:t>
      </w:r>
      <w:r w:rsidRPr="002C4AA1">
        <w:rPr>
          <w:rFonts w:cs="Calibri"/>
        </w:rPr>
        <w:t xml:space="preserve"> Valor activado en el ejercicio de los bienes construidos por la entidad:</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f)</w:t>
      </w:r>
      <w:r w:rsidRPr="002C4AA1">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g)</w:t>
      </w:r>
      <w:r w:rsidRPr="002C4AA1">
        <w:rPr>
          <w:rFonts w:cs="Calibri"/>
        </w:rPr>
        <w:t xml:space="preserve"> Desmantelamiento de Activos, procedimientos, implicaciones, efectos contables: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h)</w:t>
      </w:r>
      <w:r w:rsidRPr="002C4AA1">
        <w:rPr>
          <w:rFonts w:cs="Calibri"/>
        </w:rPr>
        <w:t xml:space="preserve"> Administración de activos; planeación con el objetivo de que el ente los utilice de manera más efectiva:</w:t>
      </w:r>
    </w:p>
    <w:p w:rsidR="002C4AA1" w:rsidRPr="002C4AA1" w:rsidRDefault="002C4AA1" w:rsidP="002C4AA1">
      <w:pPr>
        <w:spacing w:after="0" w:line="240" w:lineRule="auto"/>
        <w:jc w:val="both"/>
        <w:rPr>
          <w:rFonts w:cs="Calibri"/>
        </w:rPr>
      </w:pPr>
    </w:p>
    <w:p w:rsidR="002C4AA1" w:rsidRDefault="002C4AA1" w:rsidP="002C4AA1">
      <w:pPr>
        <w:spacing w:after="0" w:line="240" w:lineRule="auto"/>
        <w:jc w:val="both"/>
        <w:rPr>
          <w:rFonts w:cs="Calibri"/>
        </w:rPr>
      </w:pPr>
      <w:r w:rsidRPr="002C4AA1">
        <w:rPr>
          <w:rFonts w:cs="Calibri"/>
        </w:rPr>
        <w:t>No aplica</w:t>
      </w:r>
    </w:p>
    <w:p w:rsid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Adicionalmente, se deben incluir las explicaciones de las principales variaciones en el activo, en cuadros comparativos como sigue:</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a)</w:t>
      </w:r>
      <w:r w:rsidRPr="002C4AA1">
        <w:rPr>
          <w:rFonts w:cs="Calibri"/>
        </w:rPr>
        <w:t xml:space="preserve"> Inversiones en valores: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b)</w:t>
      </w:r>
      <w:r w:rsidRPr="002C4AA1">
        <w:rPr>
          <w:rFonts w:cs="Calibri"/>
        </w:rPr>
        <w:t xml:space="preserve"> Patrimonio de Organismos descentralizados de Control Presupuestario Indirecto:</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c)</w:t>
      </w:r>
      <w:r w:rsidRPr="002C4AA1">
        <w:rPr>
          <w:rFonts w:cs="Calibri"/>
        </w:rPr>
        <w:t xml:space="preserve"> Inversiones en empresas de participación mayoritaria: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d)</w:t>
      </w:r>
      <w:r w:rsidRPr="002C4AA1">
        <w:rPr>
          <w:rFonts w:cs="Calibri"/>
        </w:rPr>
        <w:t xml:space="preserve"> Inversiones en empresas de participación minoritaria: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e)</w:t>
      </w:r>
      <w:r w:rsidRPr="002C4AA1">
        <w:rPr>
          <w:rFonts w:cs="Calibri"/>
        </w:rPr>
        <w:t xml:space="preserve"> Patrimonio de organismos descentralizados de control presupuestario directo, según corresponda:</w:t>
      </w:r>
    </w:p>
    <w:p w:rsidR="002C4AA1" w:rsidRPr="002C4AA1" w:rsidRDefault="002C4AA1" w:rsidP="002C4AA1">
      <w:pPr>
        <w:spacing w:after="0" w:line="240" w:lineRule="auto"/>
        <w:jc w:val="both"/>
        <w:rPr>
          <w:rFonts w:cs="Calibri"/>
        </w:rPr>
      </w:pPr>
    </w:p>
    <w:p w:rsidR="002C4AA1" w:rsidRPr="002C4AA1" w:rsidRDefault="00056F5A" w:rsidP="002C4AA1">
      <w:pPr>
        <w:spacing w:after="0" w:line="240" w:lineRule="auto"/>
        <w:jc w:val="both"/>
        <w:rPr>
          <w:rFonts w:cs="Calibri"/>
        </w:rPr>
      </w:pPr>
      <w:r>
        <w:rPr>
          <w:rFonts w:cs="Calibri"/>
        </w:rPr>
        <w:t>T</w:t>
      </w:r>
      <w:r w:rsidR="002C4AA1" w:rsidRPr="002C4AA1">
        <w:rPr>
          <w:rFonts w:cs="Calibri"/>
        </w:rPr>
        <w:t xml:space="preserve">abla de bienes muebles e </w:t>
      </w:r>
      <w:r w:rsidRPr="002C4AA1">
        <w:rPr>
          <w:rFonts w:cs="Calibri"/>
        </w:rPr>
        <w:t>inmuebles comparativos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2C4AA1" w:rsidRPr="002C4AA1" w:rsidRDefault="002C4AA1" w:rsidP="002C4AA1">
      <w:pPr>
        <w:spacing w:after="0" w:line="240" w:lineRule="auto"/>
        <w:jc w:val="both"/>
        <w:rPr>
          <w:rFonts w:cs="Calibri"/>
          <w:b/>
        </w:rPr>
      </w:pPr>
      <w:r w:rsidRPr="002C4AA1">
        <w:rPr>
          <w:rFonts w:cs="Calibri"/>
          <w:b/>
        </w:rPr>
        <w:lastRenderedPageBreak/>
        <w:t>9. Fideicomisos, Mandatos y Análogos:</w:t>
      </w:r>
    </w:p>
    <w:p w:rsidR="002C4AA1" w:rsidRPr="002C4AA1" w:rsidRDefault="002C4AA1" w:rsidP="002C4AA1">
      <w:pPr>
        <w:spacing w:after="0" w:line="240" w:lineRule="auto"/>
        <w:jc w:val="both"/>
        <w:rPr>
          <w:rFonts w:cs="Calibri"/>
        </w:rPr>
      </w:pPr>
    </w:p>
    <w:p w:rsidR="002C4AA1" w:rsidRPr="001E354A" w:rsidRDefault="002C4AA1" w:rsidP="001E354A">
      <w:pPr>
        <w:pStyle w:val="Prrafodelista"/>
        <w:numPr>
          <w:ilvl w:val="0"/>
          <w:numId w:val="4"/>
        </w:numPr>
        <w:spacing w:after="0" w:line="240" w:lineRule="auto"/>
        <w:jc w:val="both"/>
        <w:rPr>
          <w:rFonts w:cs="Calibri"/>
        </w:rPr>
      </w:pPr>
      <w:r w:rsidRPr="001E354A">
        <w:rPr>
          <w:rFonts w:cs="Calibri"/>
        </w:rPr>
        <w:t>Por ramo administrativo que los reporta: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b)</w:t>
      </w:r>
      <w:r w:rsidRPr="002C4AA1">
        <w:rPr>
          <w:rFonts w:cs="Calibri"/>
        </w:rPr>
        <w:t xml:space="preserve"> Enlistar los de mayor monto de disponibilidad, relacionando aquéllos que conforman el 80% de las disponibilidades: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aplica</w:t>
      </w:r>
    </w:p>
    <w:p w:rsidR="007D1E76" w:rsidRPr="00E74967" w:rsidRDefault="007D1E76" w:rsidP="007D1E76">
      <w:pPr>
        <w:spacing w:after="0" w:line="240" w:lineRule="auto"/>
        <w:jc w:val="both"/>
        <w:rPr>
          <w:rFonts w:cs="Calibri"/>
        </w:rPr>
      </w:pPr>
    </w:p>
    <w:p w:rsidR="002C4AA1" w:rsidRPr="002C4AA1" w:rsidRDefault="002C4AA1" w:rsidP="002C4AA1">
      <w:pPr>
        <w:spacing w:after="0" w:line="240" w:lineRule="auto"/>
        <w:jc w:val="both"/>
        <w:rPr>
          <w:rFonts w:cs="Calibri"/>
          <w:b/>
        </w:rPr>
      </w:pPr>
      <w:r w:rsidRPr="002C4AA1">
        <w:rPr>
          <w:rFonts w:cs="Calibri"/>
          <w:b/>
        </w:rPr>
        <w:t>10. Reporte de la Recaudación:</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a)</w:t>
      </w:r>
      <w:r w:rsidRPr="002C4AA1">
        <w:rPr>
          <w:rFonts w:cs="Calibri"/>
        </w:rPr>
        <w:t xml:space="preserve"> Análisis del comportamiento de la recaudación correspondiente al ente público o cualquier tipo de ingreso, de forma separada los ingresos locales de los federales: ingresos cobrados derechos, productos y aprovechamientos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b)</w:t>
      </w:r>
      <w:r w:rsidRPr="002C4AA1">
        <w:rPr>
          <w:rFonts w:cs="Calibri"/>
        </w:rPr>
        <w:t xml:space="preserve"> Proyección de la recaudación e ingresos en el mediano plazo:</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Los ingresos se proyectan y calendarizan en relación a la matrícula que se piensa tener en los siguientes cuatrimestres y en base a eso se planea en que se utilizará.</w:t>
      </w:r>
    </w:p>
    <w:p w:rsidR="007D1E76" w:rsidRDefault="007D1E76" w:rsidP="007D1E76">
      <w:pPr>
        <w:spacing w:after="0" w:line="240" w:lineRule="auto"/>
        <w:jc w:val="both"/>
        <w:rPr>
          <w:rFonts w:cs="Calibri"/>
        </w:rPr>
      </w:pPr>
    </w:p>
    <w:p w:rsidR="002C4AA1" w:rsidRPr="002C4AA1" w:rsidRDefault="002C4AA1" w:rsidP="002C4AA1">
      <w:pPr>
        <w:spacing w:after="0" w:line="240" w:lineRule="auto"/>
        <w:jc w:val="both"/>
        <w:rPr>
          <w:rFonts w:cs="Calibri"/>
          <w:b/>
        </w:rPr>
      </w:pPr>
      <w:r w:rsidRPr="002C4AA1">
        <w:rPr>
          <w:rFonts w:cs="Calibri"/>
          <w:b/>
        </w:rPr>
        <w:t>11. Información sobre la Deuda y el Reporte Analítico de la Deuda: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A la fecha la Universidad no tiene pasivos contingentes que informar.</w:t>
      </w:r>
    </w:p>
    <w:p w:rsidR="007D1E76" w:rsidRPr="00E74967" w:rsidRDefault="007D1E76" w:rsidP="007D1E76">
      <w:pPr>
        <w:spacing w:after="0" w:line="240" w:lineRule="auto"/>
        <w:jc w:val="both"/>
        <w:rPr>
          <w:rFonts w:cs="Calibri"/>
        </w:rPr>
      </w:pPr>
    </w:p>
    <w:p w:rsidR="002C4AA1" w:rsidRPr="002C4AA1" w:rsidRDefault="002C4AA1" w:rsidP="002C4AA1">
      <w:pPr>
        <w:spacing w:after="0" w:line="240" w:lineRule="auto"/>
        <w:jc w:val="both"/>
        <w:rPr>
          <w:rFonts w:cs="Calibri"/>
          <w:b/>
        </w:rPr>
      </w:pPr>
      <w:r w:rsidRPr="002C4AA1">
        <w:rPr>
          <w:rFonts w:cs="Calibri"/>
          <w:b/>
        </w:rPr>
        <w:t>12. Calificaciones otorgadas: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Informar, tanto del ente público como cualquier transacción realizada, que haya sido sujeta a una calificación crediticia: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A la fecha la Universidad no ha sido sujeta a calificación crediticia.</w:t>
      </w:r>
    </w:p>
    <w:p w:rsidR="007D1E76" w:rsidRPr="00E74967" w:rsidRDefault="007D1E76" w:rsidP="007D1E76">
      <w:pPr>
        <w:spacing w:after="0" w:line="240" w:lineRule="auto"/>
        <w:jc w:val="both"/>
        <w:rPr>
          <w:rFonts w:cs="Calibri"/>
        </w:rPr>
      </w:pPr>
    </w:p>
    <w:p w:rsidR="002C4AA1" w:rsidRPr="002C4AA1" w:rsidRDefault="002C4AA1" w:rsidP="002C4AA1">
      <w:pPr>
        <w:spacing w:after="0" w:line="240" w:lineRule="auto"/>
        <w:jc w:val="both"/>
        <w:rPr>
          <w:rFonts w:cs="Calibri"/>
          <w:b/>
        </w:rPr>
      </w:pPr>
      <w:r w:rsidRPr="002C4AA1">
        <w:rPr>
          <w:rFonts w:cs="Calibri"/>
          <w:b/>
        </w:rPr>
        <w:t>13. Proceso de Mejora: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a)</w:t>
      </w:r>
      <w:r w:rsidRPr="002C4AA1">
        <w:rPr>
          <w:rFonts w:cs="Calibri"/>
        </w:rPr>
        <w:t xml:space="preserve"> Principales Políticas de control interno:</w:t>
      </w:r>
    </w:p>
    <w:p w:rsidR="002C4AA1" w:rsidRPr="002C4AA1" w:rsidRDefault="002C4AA1" w:rsidP="002C4AA1">
      <w:pPr>
        <w:spacing w:after="0" w:line="240" w:lineRule="auto"/>
        <w:jc w:val="both"/>
        <w:rPr>
          <w:rFonts w:cs="Calibri"/>
        </w:rPr>
      </w:pPr>
    </w:p>
    <w:p w:rsidR="002C4AA1" w:rsidRPr="003E1BB0" w:rsidRDefault="003E1BB0" w:rsidP="002C4AA1">
      <w:pPr>
        <w:spacing w:after="0" w:line="240" w:lineRule="auto"/>
        <w:jc w:val="both"/>
        <w:rPr>
          <w:rFonts w:cs="Calibri"/>
        </w:rPr>
      </w:pPr>
      <w:r w:rsidRPr="003E1BB0">
        <w:rPr>
          <w:rFonts w:cs="Calibri"/>
        </w:rPr>
        <w:t>Respecto al control interno  la Universidad se ha preocupado por mejorar su control interno por lo que ya contamos con la certificación Guanajuato Crece y Guanajuato Crece Competitivo, estamos</w:t>
      </w:r>
      <w:r w:rsidR="00502811">
        <w:rPr>
          <w:rFonts w:cs="Calibri"/>
        </w:rPr>
        <w:t xml:space="preserve"> certifi</w:t>
      </w:r>
      <w:r w:rsidRPr="003E1BB0">
        <w:rPr>
          <w:rFonts w:cs="Calibri"/>
        </w:rPr>
        <w:t>ca</w:t>
      </w:r>
      <w:r w:rsidR="00502811">
        <w:rPr>
          <w:rFonts w:cs="Calibri"/>
        </w:rPr>
        <w:t>d</w:t>
      </w:r>
      <w:r w:rsidRPr="003E1BB0">
        <w:rPr>
          <w:rFonts w:cs="Calibri"/>
        </w:rPr>
        <w:t>os con ISO 9001:2008 e ISO 14001:2004.</w:t>
      </w:r>
    </w:p>
    <w:p w:rsidR="003E1BB0" w:rsidRDefault="003E1BB0" w:rsidP="002C4AA1">
      <w:pPr>
        <w:spacing w:after="0" w:line="240" w:lineRule="auto"/>
        <w:jc w:val="both"/>
        <w:rPr>
          <w:rFonts w:cs="Calibri"/>
        </w:rPr>
      </w:pPr>
    </w:p>
    <w:p w:rsidR="003E1BB0" w:rsidRDefault="003E1BB0" w:rsidP="002C4AA1">
      <w:pPr>
        <w:spacing w:after="0" w:line="240" w:lineRule="auto"/>
        <w:jc w:val="both"/>
        <w:rPr>
          <w:rFonts w:cs="Calibri"/>
        </w:rPr>
      </w:pPr>
    </w:p>
    <w:p w:rsidR="003E1BB0" w:rsidRPr="002C4AA1" w:rsidRDefault="003E1BB0"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b/>
        </w:rPr>
        <w:t>b)</w:t>
      </w:r>
      <w:r w:rsidRPr="002C4AA1">
        <w:rPr>
          <w:rFonts w:cs="Calibri"/>
        </w:rPr>
        <w:t xml:space="preserve"> Medidas de desempeño financiero, metas y alcance:</w:t>
      </w:r>
    </w:p>
    <w:p w:rsidR="002C4AA1" w:rsidRPr="002C4AA1" w:rsidRDefault="002C4AA1" w:rsidP="002C4AA1">
      <w:pPr>
        <w:spacing w:after="0" w:line="240" w:lineRule="auto"/>
        <w:jc w:val="both"/>
        <w:rPr>
          <w:rFonts w:cs="Calibri"/>
        </w:rPr>
      </w:pPr>
    </w:p>
    <w:p w:rsidR="002C4AA1" w:rsidRPr="002C4AA1" w:rsidRDefault="00056F5A" w:rsidP="002C4AA1">
      <w:pPr>
        <w:spacing w:after="0" w:line="240" w:lineRule="auto"/>
        <w:jc w:val="both"/>
        <w:rPr>
          <w:rFonts w:cs="Calibri"/>
        </w:rPr>
      </w:pPr>
      <w:r>
        <w:rPr>
          <w:rFonts w:cs="Calibri"/>
        </w:rPr>
        <w:t xml:space="preserve">La Universidad tiene implementado </w:t>
      </w:r>
      <w:r w:rsidR="002C4AA1" w:rsidRPr="002C4AA1">
        <w:rPr>
          <w:rFonts w:cs="Calibri"/>
        </w:rPr>
        <w:t>el Sistema de Evaluación al Desempeño SED, en el cual se miden las metas y alcances así como los indicadores financieros sobre los cuales se evalúa el desempeño de la Universidad.</w:t>
      </w:r>
    </w:p>
    <w:p w:rsidR="007D1E76" w:rsidRDefault="007D1E76" w:rsidP="007D1E76">
      <w:pPr>
        <w:spacing w:after="0" w:line="240" w:lineRule="auto"/>
        <w:jc w:val="both"/>
        <w:rPr>
          <w:rFonts w:cs="Calibri"/>
        </w:rPr>
      </w:pPr>
    </w:p>
    <w:p w:rsidR="002C4AA1" w:rsidRPr="002C4AA1" w:rsidRDefault="002C4AA1" w:rsidP="002C4AA1">
      <w:pPr>
        <w:spacing w:after="0" w:line="240" w:lineRule="auto"/>
        <w:jc w:val="both"/>
        <w:rPr>
          <w:rFonts w:cs="Calibri"/>
          <w:b/>
        </w:rPr>
      </w:pPr>
      <w:r w:rsidRPr="002C4AA1">
        <w:rPr>
          <w:rFonts w:cs="Calibri"/>
          <w:b/>
        </w:rPr>
        <w:t>14. Información por Segmentos: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La Universidad no considera necesario revelar información financiera de manera segment</w:t>
      </w:r>
      <w:r w:rsidR="00210C66">
        <w:rPr>
          <w:rFonts w:cs="Calibri"/>
        </w:rPr>
        <w:t>ada debido a que realiza una sola</w:t>
      </w:r>
      <w:r w:rsidRPr="002C4AA1">
        <w:rPr>
          <w:rFonts w:cs="Calibri"/>
        </w:rPr>
        <w:t xml:space="preserve"> actividad económica.</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b/>
        </w:rPr>
      </w:pPr>
      <w:r w:rsidRPr="002C4AA1">
        <w:rPr>
          <w:rFonts w:cs="Calibri"/>
          <w:b/>
        </w:rPr>
        <w:t>15. Eventos Posteriores al Cierre:</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No se han tenido hechos ocurridos con posterioridad a la emisión de los Estados Financieros que afecten económicamente a la Universidad.</w:t>
      </w:r>
    </w:p>
    <w:p w:rsidR="002C4AA1" w:rsidRPr="002C4AA1" w:rsidRDefault="002C4AA1" w:rsidP="002C4AA1">
      <w:pPr>
        <w:pStyle w:val="Sinespaciado"/>
        <w:rPr>
          <w:rFonts w:cs="Calibri"/>
        </w:rPr>
      </w:pPr>
    </w:p>
    <w:p w:rsidR="002C4AA1" w:rsidRPr="002C4AA1" w:rsidRDefault="002C4AA1" w:rsidP="002C4AA1">
      <w:pPr>
        <w:spacing w:after="0" w:line="240" w:lineRule="auto"/>
        <w:jc w:val="both"/>
        <w:rPr>
          <w:rFonts w:cs="Calibri"/>
          <w:b/>
        </w:rPr>
      </w:pPr>
      <w:r w:rsidRPr="002C4AA1">
        <w:rPr>
          <w:rFonts w:cs="Calibri"/>
          <w:b/>
        </w:rPr>
        <w:t>16. Partes Relacionadas: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Se debe establecer por escrito que no existen partes relacionadas que pudieran ejercer influencia significativa sobre la toma de decisiones financieras y operativas:</w:t>
      </w:r>
    </w:p>
    <w:p w:rsidR="002C4AA1" w:rsidRPr="002C4AA1" w:rsidRDefault="002C4AA1" w:rsidP="002C4AA1">
      <w:pPr>
        <w:spacing w:after="0" w:line="240" w:lineRule="auto"/>
        <w:jc w:val="both"/>
        <w:rPr>
          <w:rFonts w:cs="Calibri"/>
        </w:rPr>
      </w:pPr>
    </w:p>
    <w:p w:rsidR="002C4AA1" w:rsidRPr="002C4AA1" w:rsidRDefault="002C4AA1" w:rsidP="002C4AA1">
      <w:pPr>
        <w:spacing w:after="0" w:line="240" w:lineRule="auto"/>
        <w:jc w:val="both"/>
        <w:rPr>
          <w:rFonts w:cs="Calibri"/>
        </w:rPr>
      </w:pPr>
      <w:r w:rsidRPr="002C4AA1">
        <w:rPr>
          <w:rFonts w:cs="Calibri"/>
        </w:rPr>
        <w:t>La Universidad no tiene partes relacionadas que pudieran ejercer influencia significativa sobre la toma de decisiones financieras y operativas.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rsidR="007D1E76" w:rsidRPr="00E74967" w:rsidRDefault="007D1E76" w:rsidP="007D1E76">
      <w:pPr>
        <w:spacing w:after="0" w:line="240" w:lineRule="auto"/>
        <w:jc w:val="both"/>
        <w:rPr>
          <w:rFonts w:cs="Calibri"/>
        </w:rPr>
      </w:pPr>
    </w:p>
    <w:p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7D1E76" w:rsidRPr="00E74967" w:rsidRDefault="007D1E76" w:rsidP="007D1E76">
      <w:pPr>
        <w:pBdr>
          <w:bottom w:val="single" w:sz="12" w:space="1" w:color="auto"/>
        </w:pBdr>
        <w:spacing w:after="0" w:line="240" w:lineRule="auto"/>
        <w:jc w:val="both"/>
        <w:rPr>
          <w:rFonts w:cs="Calibri"/>
        </w:rPr>
      </w:pPr>
    </w:p>
    <w:sectPr w:rsidR="007D1E76" w:rsidRPr="00E74967" w:rsidSect="00657009">
      <w:headerReference w:type="default" r:id="rId8"/>
      <w:foot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EB6" w:rsidRDefault="00EE4EB6" w:rsidP="00E00323">
      <w:pPr>
        <w:spacing w:after="0" w:line="240" w:lineRule="auto"/>
      </w:pPr>
      <w:r>
        <w:separator/>
      </w:r>
    </w:p>
  </w:endnote>
  <w:endnote w:type="continuationSeparator" w:id="0">
    <w:p w:rsidR="00EE4EB6" w:rsidRDefault="00EE4EB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4"/>
        <w:szCs w:val="14"/>
      </w:rPr>
      <w:id w:val="-638495109"/>
      <w:docPartObj>
        <w:docPartGallery w:val="Page Numbers (Bottom of Page)"/>
        <w:docPartUnique/>
      </w:docPartObj>
    </w:sdtPr>
    <w:sdtEndPr/>
    <w:sdtContent>
      <w:sdt>
        <w:sdtPr>
          <w:rPr>
            <w:rFonts w:ascii="Arial" w:hAnsi="Arial" w:cs="Arial"/>
            <w:sz w:val="14"/>
            <w:szCs w:val="14"/>
          </w:rPr>
          <w:id w:val="1728636285"/>
          <w:docPartObj>
            <w:docPartGallery w:val="Page Numbers (Top of Page)"/>
            <w:docPartUnique/>
          </w:docPartObj>
        </w:sdtPr>
        <w:sdtEndPr/>
        <w:sdtContent>
          <w:p w:rsidR="00EE4EB6" w:rsidRPr="00884FA2" w:rsidRDefault="00EE4EB6">
            <w:pPr>
              <w:pStyle w:val="Piedepgina"/>
              <w:jc w:val="center"/>
              <w:rPr>
                <w:rFonts w:ascii="Arial" w:hAnsi="Arial" w:cs="Arial"/>
                <w:sz w:val="14"/>
                <w:szCs w:val="14"/>
              </w:rPr>
            </w:pPr>
            <w:r w:rsidRPr="00884FA2">
              <w:rPr>
                <w:rFonts w:ascii="Arial" w:hAnsi="Arial" w:cs="Arial"/>
                <w:sz w:val="14"/>
                <w:szCs w:val="14"/>
                <w:lang w:val="es-ES"/>
              </w:rPr>
              <w:t xml:space="preserve">Página </w:t>
            </w:r>
            <w:r w:rsidRPr="00884FA2">
              <w:rPr>
                <w:rFonts w:ascii="Arial" w:hAnsi="Arial" w:cs="Arial"/>
                <w:b/>
                <w:bCs/>
                <w:sz w:val="14"/>
                <w:szCs w:val="14"/>
              </w:rPr>
              <w:fldChar w:fldCharType="begin"/>
            </w:r>
            <w:r w:rsidRPr="00884FA2">
              <w:rPr>
                <w:rFonts w:ascii="Arial" w:hAnsi="Arial" w:cs="Arial"/>
                <w:b/>
                <w:bCs/>
                <w:sz w:val="14"/>
                <w:szCs w:val="14"/>
              </w:rPr>
              <w:instrText>PAGE</w:instrText>
            </w:r>
            <w:r w:rsidRPr="00884FA2">
              <w:rPr>
                <w:rFonts w:ascii="Arial" w:hAnsi="Arial" w:cs="Arial"/>
                <w:b/>
                <w:bCs/>
                <w:sz w:val="14"/>
                <w:szCs w:val="14"/>
              </w:rPr>
              <w:fldChar w:fldCharType="separate"/>
            </w:r>
            <w:r w:rsidR="006E5EDF">
              <w:rPr>
                <w:rFonts w:ascii="Arial" w:hAnsi="Arial" w:cs="Arial"/>
                <w:b/>
                <w:bCs/>
                <w:noProof/>
                <w:sz w:val="14"/>
                <w:szCs w:val="14"/>
              </w:rPr>
              <w:t>11</w:t>
            </w:r>
            <w:r w:rsidRPr="00884FA2">
              <w:rPr>
                <w:rFonts w:ascii="Arial" w:hAnsi="Arial" w:cs="Arial"/>
                <w:b/>
                <w:bCs/>
                <w:sz w:val="14"/>
                <w:szCs w:val="14"/>
              </w:rPr>
              <w:fldChar w:fldCharType="end"/>
            </w:r>
            <w:r w:rsidRPr="00884FA2">
              <w:rPr>
                <w:rFonts w:ascii="Arial" w:hAnsi="Arial" w:cs="Arial"/>
                <w:sz w:val="14"/>
                <w:szCs w:val="14"/>
                <w:lang w:val="es-ES"/>
              </w:rPr>
              <w:t xml:space="preserve"> de </w:t>
            </w:r>
            <w:r w:rsidRPr="00884FA2">
              <w:rPr>
                <w:rFonts w:ascii="Arial" w:hAnsi="Arial" w:cs="Arial"/>
                <w:b/>
                <w:bCs/>
                <w:sz w:val="14"/>
                <w:szCs w:val="14"/>
              </w:rPr>
              <w:fldChar w:fldCharType="begin"/>
            </w:r>
            <w:r w:rsidRPr="00884FA2">
              <w:rPr>
                <w:rFonts w:ascii="Arial" w:hAnsi="Arial" w:cs="Arial"/>
                <w:b/>
                <w:bCs/>
                <w:sz w:val="14"/>
                <w:szCs w:val="14"/>
              </w:rPr>
              <w:instrText>NUMPAGES</w:instrText>
            </w:r>
            <w:r w:rsidRPr="00884FA2">
              <w:rPr>
                <w:rFonts w:ascii="Arial" w:hAnsi="Arial" w:cs="Arial"/>
                <w:b/>
                <w:bCs/>
                <w:sz w:val="14"/>
                <w:szCs w:val="14"/>
              </w:rPr>
              <w:fldChar w:fldCharType="separate"/>
            </w:r>
            <w:r w:rsidR="006E5EDF">
              <w:rPr>
                <w:rFonts w:ascii="Arial" w:hAnsi="Arial" w:cs="Arial"/>
                <w:b/>
                <w:bCs/>
                <w:noProof/>
                <w:sz w:val="14"/>
                <w:szCs w:val="14"/>
              </w:rPr>
              <w:t>11</w:t>
            </w:r>
            <w:r w:rsidRPr="00884FA2">
              <w:rPr>
                <w:rFonts w:ascii="Arial" w:hAnsi="Arial" w:cs="Arial"/>
                <w:b/>
                <w:bCs/>
                <w:sz w:val="14"/>
                <w:szCs w:val="14"/>
              </w:rPr>
              <w:fldChar w:fldCharType="end"/>
            </w:r>
          </w:p>
        </w:sdtContent>
      </w:sdt>
    </w:sdtContent>
  </w:sdt>
  <w:p w:rsidR="00EE4EB6" w:rsidRDefault="00EE4E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EB6" w:rsidRDefault="00EE4EB6" w:rsidP="00E00323">
      <w:pPr>
        <w:spacing w:after="0" w:line="240" w:lineRule="auto"/>
      </w:pPr>
      <w:r>
        <w:separator/>
      </w:r>
    </w:p>
  </w:footnote>
  <w:footnote w:type="continuationSeparator" w:id="0">
    <w:p w:rsidR="00EE4EB6" w:rsidRDefault="00EE4EB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B6" w:rsidRDefault="00EE4EB6" w:rsidP="00154BA3">
    <w:pPr>
      <w:pStyle w:val="Encabezado"/>
      <w:jc w:val="center"/>
    </w:pPr>
    <w:r>
      <w:t>Universidad Politécnica del Bicentenario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D0AF8"/>
    <w:multiLevelType w:val="hybridMultilevel"/>
    <w:tmpl w:val="34E6DA32"/>
    <w:lvl w:ilvl="0" w:tplc="8E8067D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DA6529"/>
    <w:multiLevelType w:val="hybridMultilevel"/>
    <w:tmpl w:val="06924F26"/>
    <w:lvl w:ilvl="0" w:tplc="67A456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8A563A"/>
    <w:multiLevelType w:val="hybridMultilevel"/>
    <w:tmpl w:val="FBC4425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5276D"/>
    <w:rsid w:val="00056F5A"/>
    <w:rsid w:val="000B7810"/>
    <w:rsid w:val="001233C0"/>
    <w:rsid w:val="00154BA3"/>
    <w:rsid w:val="001973A2"/>
    <w:rsid w:val="001C75F2"/>
    <w:rsid w:val="001D2063"/>
    <w:rsid w:val="001E354A"/>
    <w:rsid w:val="001F71D4"/>
    <w:rsid w:val="00210C66"/>
    <w:rsid w:val="00262EC3"/>
    <w:rsid w:val="002C4AA1"/>
    <w:rsid w:val="00337A41"/>
    <w:rsid w:val="00354B64"/>
    <w:rsid w:val="003C5762"/>
    <w:rsid w:val="003E1BB0"/>
    <w:rsid w:val="004B74FF"/>
    <w:rsid w:val="00502811"/>
    <w:rsid w:val="00543714"/>
    <w:rsid w:val="00546871"/>
    <w:rsid w:val="0057331F"/>
    <w:rsid w:val="005D3E43"/>
    <w:rsid w:val="005E231E"/>
    <w:rsid w:val="0062561B"/>
    <w:rsid w:val="006338A4"/>
    <w:rsid w:val="00657009"/>
    <w:rsid w:val="00681C79"/>
    <w:rsid w:val="00697331"/>
    <w:rsid w:val="006E5EDF"/>
    <w:rsid w:val="0075068B"/>
    <w:rsid w:val="007714AB"/>
    <w:rsid w:val="007A0033"/>
    <w:rsid w:val="007D1E76"/>
    <w:rsid w:val="007F3336"/>
    <w:rsid w:val="00865333"/>
    <w:rsid w:val="00884FA2"/>
    <w:rsid w:val="008E076C"/>
    <w:rsid w:val="009319ED"/>
    <w:rsid w:val="00983928"/>
    <w:rsid w:val="009A641B"/>
    <w:rsid w:val="009B6E47"/>
    <w:rsid w:val="009E4C89"/>
    <w:rsid w:val="009F28A3"/>
    <w:rsid w:val="00AF6287"/>
    <w:rsid w:val="00B33234"/>
    <w:rsid w:val="00B92D60"/>
    <w:rsid w:val="00B93FFC"/>
    <w:rsid w:val="00BD3E16"/>
    <w:rsid w:val="00C41B83"/>
    <w:rsid w:val="00C609DC"/>
    <w:rsid w:val="00C727EB"/>
    <w:rsid w:val="00CA4899"/>
    <w:rsid w:val="00CB2E2E"/>
    <w:rsid w:val="00D112B9"/>
    <w:rsid w:val="00DA0F85"/>
    <w:rsid w:val="00DD16BC"/>
    <w:rsid w:val="00E00323"/>
    <w:rsid w:val="00E171AE"/>
    <w:rsid w:val="00E6636D"/>
    <w:rsid w:val="00E74967"/>
    <w:rsid w:val="00E92F42"/>
    <w:rsid w:val="00E96027"/>
    <w:rsid w:val="00EA7915"/>
    <w:rsid w:val="00EE4EB6"/>
    <w:rsid w:val="00F913DD"/>
    <w:rsid w:val="00FC504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57364D9F-F8DC-4321-A277-D2E0F517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546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2C4AA1"/>
    <w:rPr>
      <w:sz w:val="22"/>
      <w:szCs w:val="22"/>
      <w:lang w:eastAsia="en-US"/>
    </w:rPr>
  </w:style>
  <w:style w:type="character" w:customStyle="1" w:styleId="Ttulo1Car">
    <w:name w:val="Título 1 Car"/>
    <w:basedOn w:val="Fuentedeprrafopredeter"/>
    <w:link w:val="Ttulo1"/>
    <w:uiPriority w:val="9"/>
    <w:rsid w:val="00546871"/>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546871"/>
    <w:pPr>
      <w:spacing w:line="259" w:lineRule="auto"/>
      <w:outlineLvl w:val="9"/>
    </w:pPr>
    <w:rPr>
      <w:lang w:eastAsia="es-MX"/>
    </w:rPr>
  </w:style>
  <w:style w:type="paragraph" w:styleId="TDC2">
    <w:name w:val="toc 2"/>
    <w:basedOn w:val="Normal"/>
    <w:next w:val="Normal"/>
    <w:autoRedefine/>
    <w:uiPriority w:val="39"/>
    <w:unhideWhenUsed/>
    <w:rsid w:val="0054687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53812">
      <w:bodyDiv w:val="1"/>
      <w:marLeft w:val="0"/>
      <w:marRight w:val="0"/>
      <w:marTop w:val="0"/>
      <w:marBottom w:val="0"/>
      <w:divBdr>
        <w:top w:val="none" w:sz="0" w:space="0" w:color="auto"/>
        <w:left w:val="none" w:sz="0" w:space="0" w:color="auto"/>
        <w:bottom w:val="none" w:sz="0" w:space="0" w:color="auto"/>
        <w:right w:val="none" w:sz="0" w:space="0" w:color="auto"/>
      </w:divBdr>
    </w:div>
    <w:div w:id="195659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4F0D-8218-45C8-8923-308F6429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3034</Words>
  <Characters>16689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19684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Miguel Angel Calderon Nava</cp:lastModifiedBy>
  <cp:revision>4</cp:revision>
  <cp:lastPrinted>2018-07-24T04:27:00Z</cp:lastPrinted>
  <dcterms:created xsi:type="dcterms:W3CDTF">2019-07-29T16:09:00Z</dcterms:created>
  <dcterms:modified xsi:type="dcterms:W3CDTF">2019-10-29T16:03:00Z</dcterms:modified>
</cp:coreProperties>
</file>