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3E" w:rsidRDefault="0044233E" w:rsidP="0044233E">
      <w:pPr>
        <w:pStyle w:val="Texto"/>
        <w:spacing w:after="0" w:line="240" w:lineRule="exact"/>
        <w:ind w:firstLine="0"/>
        <w:jc w:val="center"/>
        <w:rPr>
          <w:b/>
          <w:sz w:val="20"/>
          <w:lang w:val="es-MX"/>
        </w:rPr>
      </w:pPr>
      <w:r w:rsidRPr="005718AC">
        <w:rPr>
          <w:b/>
          <w:sz w:val="20"/>
          <w:lang w:val="es-MX"/>
        </w:rPr>
        <w:t>c)</w:t>
      </w:r>
      <w:r w:rsidR="00A72EEB">
        <w:rPr>
          <w:b/>
          <w:sz w:val="20"/>
          <w:lang w:val="es-MX"/>
        </w:rPr>
        <w:t xml:space="preserve"> NOTAS DE 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22</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ml:space="preserve">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La estructura organizacional está basada en las estructuras que sugería la extinta CUP, Coordinación de Universidades Politécnicas de la  Ciudad de México, las cuales se basan en el número de alumnos con los que cuenta la Universidad y las necesidades de la misma en base al plan de estudios que ellos mismos diseñan para su aplicación.</w:t>
      </w:r>
    </w:p>
    <w:p w:rsidR="0044233E" w:rsidRDefault="00574B30" w:rsidP="0044233E">
      <w:pPr>
        <w:jc w:val="both"/>
        <w:rPr>
          <w:rFonts w:ascii="Arial" w:hAnsi="Arial" w:cs="Arial"/>
          <w:sz w:val="20"/>
          <w:szCs w:val="20"/>
        </w:rPr>
      </w:pPr>
      <w:r>
        <w:rPr>
          <w:noProof/>
        </w:rPr>
        <w:drawing>
          <wp:anchor distT="0" distB="0" distL="114300" distR="114300" simplePos="0" relativeHeight="251667456" behindDoc="0" locked="0" layoutInCell="1" allowOverlap="1" wp14:anchorId="5837C623">
            <wp:simplePos x="0" y="0"/>
            <wp:positionH relativeFrom="margin">
              <wp:align>left</wp:align>
            </wp:positionH>
            <wp:positionV relativeFrom="paragraph">
              <wp:posOffset>146685</wp:posOffset>
            </wp:positionV>
            <wp:extent cx="5034915" cy="43338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0983" cy="4339718"/>
                    </a:xfrm>
                    <a:prstGeom prst="rect">
                      <a:avLst/>
                    </a:prstGeom>
                  </pic:spPr>
                </pic:pic>
              </a:graphicData>
            </a:graphic>
            <wp14:sizeRelH relativeFrom="margin">
              <wp14:pctWidth>0</wp14:pctWidth>
            </wp14:sizeRelH>
            <wp14:sizeRelV relativeFrom="margin">
              <wp14:pctHeight>0</wp14:pctHeight>
            </wp14:sizeRelV>
          </wp:anchor>
        </w:drawing>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515F6C" w:rsidRPr="005718AC" w:rsidRDefault="00515F6C" w:rsidP="0044233E">
      <w:pPr>
        <w:jc w:val="both"/>
        <w:rPr>
          <w:rFonts w:ascii="Arial" w:hAnsi="Arial" w:cs="Arial"/>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574B30" w:rsidRDefault="00574B30"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2022 derivado del cumplimiento con lo señalado en el artículo 41 de los Lineamientos Generales de Racionalidad, Austeridad y Disciplina Presupuestal de la Administración Pública Estatal para el Ejercicio Fiscal del 2022, así como de la Circular 09/2022 emitida por la Dirección General de Presupuesto</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515F6C"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posOffset>-15875</wp:posOffset>
            </wp:positionH>
            <wp:positionV relativeFrom="page">
              <wp:posOffset>1905587</wp:posOffset>
            </wp:positionV>
            <wp:extent cx="4278359" cy="3389882"/>
            <wp:effectExtent l="0" t="0" r="8255"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8359" cy="3389882"/>
                    </a:xfrm>
                    <a:prstGeom prst="rect">
                      <a:avLst/>
                    </a:prstGeom>
                  </pic:spPr>
                </pic:pic>
              </a:graphicData>
            </a:graphic>
            <wp14:sizeRelH relativeFrom="margin">
              <wp14:pctWidth>0</wp14:pctWidth>
            </wp14:sizeRelH>
            <wp14:sizeRelV relativeFrom="margin">
              <wp14:pctHeight>0</wp14:pctHeight>
            </wp14:sizeRelV>
          </wp:anchor>
        </w:drawing>
      </w: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Capitalización de activo fijo cuenta de patrimonio 5000</w:t>
      </w:r>
    </w:p>
    <w:p w:rsidR="0044233E" w:rsidRDefault="0044233E" w:rsidP="0044233E">
      <w:pPr>
        <w:jc w:val="both"/>
        <w:rPr>
          <w:rFonts w:ascii="Arial" w:hAnsi="Arial" w:cs="Arial"/>
          <w:b/>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Pr="005718AC" w:rsidRDefault="0044233E" w:rsidP="0044233E">
      <w:pPr>
        <w:jc w:val="both"/>
        <w:rPr>
          <w:rFonts w:ascii="Arial" w:hAnsi="Arial" w:cs="Arial"/>
          <w:sz w:val="20"/>
          <w:szCs w:val="20"/>
        </w:rPr>
      </w:pPr>
    </w:p>
    <w:p w:rsidR="0044233E" w:rsidRPr="002356D1"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Patrimonio de organismos descentralizados de control presupuestario directo, según corresponda:</w:t>
      </w:r>
    </w:p>
    <w:p w:rsidR="0044233E" w:rsidRPr="005718AC"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AA2007" w:rsidRDefault="00AA2007"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lastRenderedPageBreak/>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Análisis del comportamiento de la recaudación correspondiente al ente público o cualquier tipo de ingreso, de forma separada los ingresos locales de los federales: ingresos cobrados derechos, productos y aprovechamientos</w:t>
      </w:r>
    </w:p>
    <w:p w:rsidR="00B15959" w:rsidRDefault="00AE68A9" w:rsidP="0044233E">
      <w:pPr>
        <w:jc w:val="both"/>
        <w:rPr>
          <w:rFonts w:ascii="Arial" w:hAnsi="Arial" w:cs="Arial"/>
          <w:sz w:val="20"/>
          <w:szCs w:val="20"/>
        </w:rPr>
      </w:pPr>
      <w:r>
        <w:rPr>
          <w:noProof/>
        </w:rPr>
        <w:drawing>
          <wp:anchor distT="0" distB="0" distL="114300" distR="114300" simplePos="0" relativeHeight="251666432" behindDoc="0" locked="0" layoutInCell="1" allowOverlap="1" wp14:anchorId="2CB019E5">
            <wp:simplePos x="0" y="0"/>
            <wp:positionH relativeFrom="column">
              <wp:posOffset>34290</wp:posOffset>
            </wp:positionH>
            <wp:positionV relativeFrom="paragraph">
              <wp:posOffset>144145</wp:posOffset>
            </wp:positionV>
            <wp:extent cx="5124450" cy="38252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24450" cy="3825240"/>
                    </a:xfrm>
                    <a:prstGeom prst="rect">
                      <a:avLst/>
                    </a:prstGeom>
                  </pic:spPr>
                </pic:pic>
              </a:graphicData>
            </a:graphic>
            <wp14:sizeRelH relativeFrom="margin">
              <wp14:pctWidth>0</wp14:pctWidth>
            </wp14:sizeRelH>
            <wp14:sizeRelV relativeFrom="margin">
              <wp14:pctHeight>0</wp14:pctHeight>
            </wp14:sizeRelV>
          </wp:anchor>
        </w:drawing>
      </w:r>
    </w:p>
    <w:p w:rsidR="00B15959" w:rsidRDefault="00B15959" w:rsidP="0044233E">
      <w:pPr>
        <w:jc w:val="both"/>
        <w:rPr>
          <w:rFonts w:ascii="Arial" w:hAnsi="Arial" w:cs="Arial"/>
          <w:sz w:val="20"/>
          <w:szCs w:val="20"/>
        </w:rPr>
      </w:pPr>
    </w:p>
    <w:p w:rsidR="00B15959" w:rsidRPr="00CE3C06"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bookmarkStart w:id="0" w:name="_GoBack"/>
      <w:bookmarkEnd w:id="0"/>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44233E" w:rsidP="0044233E">
      <w:pPr>
        <w:jc w:val="both"/>
      </w:pPr>
    </w:p>
    <w:p w:rsidR="0044233E" w:rsidRPr="00A72248" w:rsidRDefault="0044233E" w:rsidP="0044233E">
      <w:pPr>
        <w:tabs>
          <w:tab w:val="left" w:pos="7320"/>
        </w:tabs>
        <w:rPr>
          <w:rFonts w:ascii="Arial" w:hAnsi="Arial" w:cs="Arial"/>
          <w:sz w:val="20"/>
          <w:szCs w:val="20"/>
        </w:rPr>
      </w:pPr>
    </w:p>
    <w:p w:rsidR="0044233E" w:rsidRDefault="0044233E" w:rsidP="0044233E">
      <w:pPr>
        <w:tabs>
          <w:tab w:val="left" w:pos="7320"/>
        </w:tabs>
        <w:rPr>
          <w:rFonts w:ascii="Arial" w:hAnsi="Arial" w:cs="Arial"/>
          <w:sz w:val="20"/>
          <w:szCs w:val="20"/>
        </w:rPr>
      </w:pPr>
    </w:p>
    <w:p w:rsidR="00F7066A" w:rsidRDefault="00574B30">
      <w:r>
        <w:rPr>
          <w:noProof/>
        </w:rPr>
        <w:drawing>
          <wp:anchor distT="0" distB="0" distL="114300" distR="114300" simplePos="0" relativeHeight="251668480" behindDoc="0" locked="0" layoutInCell="1" allowOverlap="1" wp14:anchorId="36ED74BF">
            <wp:simplePos x="0" y="0"/>
            <wp:positionH relativeFrom="margin">
              <wp:align>right</wp:align>
            </wp:positionH>
            <wp:positionV relativeFrom="paragraph">
              <wp:posOffset>884934</wp:posOffset>
            </wp:positionV>
            <wp:extent cx="8257540" cy="387350"/>
            <wp:effectExtent l="0" t="0" r="0" b="0"/>
            <wp:wrapSquare wrapText="bothSides"/>
            <wp:docPr id="3" name="Imagen 4">
              <a:extLst xmlns:a="http://schemas.openxmlformats.org/drawingml/2006/main">
                <a:ext uri="{FF2B5EF4-FFF2-40B4-BE49-F238E27FC236}">
                  <a16:creationId xmlns:a16="http://schemas.microsoft.com/office/drawing/2014/main" id="{37BD24B0-E993-413D-98EC-8B5A66311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7BD24B0-E993-413D-98EC-8B5A6631174C}"/>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257540" cy="387350"/>
                    </a:xfrm>
                    <a:prstGeom prst="rect">
                      <a:avLst/>
                    </a:prstGeom>
                  </pic:spPr>
                </pic:pic>
              </a:graphicData>
            </a:graphic>
          </wp:anchor>
        </w:drawing>
      </w:r>
    </w:p>
    <w:sectPr w:rsidR="00F7066A" w:rsidSect="002356D1">
      <w:pgSz w:w="15840" w:h="12240"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EE" w:rsidRDefault="00C742EE" w:rsidP="00FA71CD">
      <w:r>
        <w:separator/>
      </w:r>
    </w:p>
  </w:endnote>
  <w:endnote w:type="continuationSeparator" w:id="0">
    <w:p w:rsidR="00C742EE" w:rsidRDefault="00C742EE"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EE" w:rsidRDefault="00C742EE" w:rsidP="00FA71CD">
      <w:r>
        <w:separator/>
      </w:r>
    </w:p>
  </w:footnote>
  <w:footnote w:type="continuationSeparator" w:id="0">
    <w:p w:rsidR="00C742EE" w:rsidRDefault="00C742EE" w:rsidP="00FA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E"/>
    <w:rsid w:val="000479E7"/>
    <w:rsid w:val="000F1B16"/>
    <w:rsid w:val="00137D03"/>
    <w:rsid w:val="002356D1"/>
    <w:rsid w:val="00256127"/>
    <w:rsid w:val="00366A63"/>
    <w:rsid w:val="0044233E"/>
    <w:rsid w:val="004726CD"/>
    <w:rsid w:val="00491D0A"/>
    <w:rsid w:val="00515F6C"/>
    <w:rsid w:val="00574B30"/>
    <w:rsid w:val="006017B9"/>
    <w:rsid w:val="00694208"/>
    <w:rsid w:val="00732493"/>
    <w:rsid w:val="007B3313"/>
    <w:rsid w:val="00853C1E"/>
    <w:rsid w:val="008D0760"/>
    <w:rsid w:val="009423BE"/>
    <w:rsid w:val="00992D06"/>
    <w:rsid w:val="00A520B7"/>
    <w:rsid w:val="00A72EEB"/>
    <w:rsid w:val="00AA2007"/>
    <w:rsid w:val="00AE68A9"/>
    <w:rsid w:val="00B15959"/>
    <w:rsid w:val="00BA7BA0"/>
    <w:rsid w:val="00C15669"/>
    <w:rsid w:val="00C742EE"/>
    <w:rsid w:val="00CE3C06"/>
    <w:rsid w:val="00DA4206"/>
    <w:rsid w:val="00E62A78"/>
    <w:rsid w:val="00E72464"/>
    <w:rsid w:val="00F24BCD"/>
    <w:rsid w:val="00F36DA1"/>
    <w:rsid w:val="00F45B5F"/>
    <w:rsid w:val="00F7066A"/>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FB8B"/>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8AA00-607F-4B57-B848-3D8E3972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2358</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Jefe de Departamento de Recursos Financieros</cp:lastModifiedBy>
  <cp:revision>14</cp:revision>
  <cp:lastPrinted>2022-04-27T18:23:00Z</cp:lastPrinted>
  <dcterms:created xsi:type="dcterms:W3CDTF">2022-07-22T01:01:00Z</dcterms:created>
  <dcterms:modified xsi:type="dcterms:W3CDTF">2022-10-18T21:14:00Z</dcterms:modified>
</cp:coreProperties>
</file>