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33E" w:rsidRDefault="00A72EEB" w:rsidP="00DE4BC5">
      <w:pPr>
        <w:pStyle w:val="Texto"/>
        <w:spacing w:after="0" w:line="240" w:lineRule="exact"/>
        <w:ind w:firstLine="0"/>
        <w:jc w:val="center"/>
        <w:rPr>
          <w:b/>
          <w:sz w:val="20"/>
          <w:lang w:val="es-MX"/>
        </w:rPr>
      </w:pPr>
      <w:r>
        <w:rPr>
          <w:b/>
          <w:sz w:val="20"/>
          <w:lang w:val="es-MX"/>
        </w:rPr>
        <w:t>NOTAS DE GESTIÓN ADMINISTRATIVA</w:t>
      </w:r>
    </w:p>
    <w:p w:rsidR="0044233E" w:rsidRPr="005718AC" w:rsidRDefault="0044233E" w:rsidP="0044233E">
      <w:pPr>
        <w:pStyle w:val="Texto"/>
        <w:spacing w:after="0" w:line="240" w:lineRule="exact"/>
        <w:ind w:firstLine="0"/>
        <w:jc w:val="center"/>
        <w:rPr>
          <w:b/>
          <w:sz w:val="20"/>
          <w:lang w:val="es-MX"/>
        </w:rPr>
      </w:pP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Los Estados Financieros de los entes públicos, proveen de información financiera a los principales usuarios de la misma, al Congreso y a los ciudadanos.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44233E" w:rsidRPr="005718AC" w:rsidRDefault="0044233E" w:rsidP="0044233E">
      <w:pPr>
        <w:jc w:val="both"/>
        <w:rPr>
          <w:rFonts w:ascii="Arial" w:hAnsi="Arial" w:cs="Arial"/>
          <w:sz w:val="20"/>
          <w:szCs w:val="20"/>
        </w:rPr>
      </w:pPr>
    </w:p>
    <w:p w:rsidR="00CA64BC" w:rsidRDefault="00CA64BC"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1. Introducción:</w:t>
      </w:r>
      <w:r w:rsidRPr="005718AC">
        <w:rPr>
          <w:rFonts w:ascii="Arial" w:hAnsi="Arial" w:cs="Arial"/>
          <w:sz w:val="20"/>
          <w:szCs w:val="20"/>
        </w:rPr>
        <w:tab/>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Politécnica del Bicentenario es un organismo público descentralizado de la Administración Pública Estatal, sectorizado a la Secretaría de Educación de Guanajuato. Forma parte del Sistema de Educación Superior Tecnológica del Estatal de Guanajuato  (SESTEG) y adopta el modelo educativo del Subsistema Nacional de Universidades Politécnicas, con apego a las normas, políticas y lineamientos establecidos de común acuerdo entre autoridades educativas estatal y federal.</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2. Describir el panorama Económico y Financiero: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desde su creación, ha operado con déficit presupuestal por lo que cada año se realizan las gestiones de recursos necesarios para concluir el ejercicio (sueldos, servicios, etc.)</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3. Autorización e Historia: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Fecha de creación del ente.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Politécnica del Bicentenario fue creada el 14 de Septiembre de 2010 con la publicación del decreto Gubernativo 147 del Ejecutivo del Estado, publicado en el periódico Oficial del Gobierno del Estado No. 147.</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Principales cambios en su estructura (interna históricamente).</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Pr>
          <w:rFonts w:ascii="Arial" w:hAnsi="Arial" w:cs="Arial"/>
          <w:sz w:val="20"/>
          <w:szCs w:val="20"/>
        </w:rPr>
        <w:t>La Universidad basa sus estructuras a los lineamientos de la SEP, representadas por la CGUTyP, la cual en su momento autorizo la estructura B aplicable a una matrícula de 301 a 500 estudiantes. En el año 2013 se escaló a la estructura C correspondiente a una matrícula de 501 a 1000 alumnos con las que operamos actualmente.</w:t>
      </w:r>
    </w:p>
    <w:p w:rsidR="00515F6C" w:rsidRDefault="00515F6C" w:rsidP="0044233E">
      <w:pPr>
        <w:jc w:val="both"/>
        <w:rPr>
          <w:rFonts w:ascii="Arial" w:hAnsi="Arial" w:cs="Arial"/>
          <w:sz w:val="20"/>
          <w:szCs w:val="20"/>
        </w:rPr>
      </w:pPr>
    </w:p>
    <w:p w:rsidR="00515F6C" w:rsidRDefault="00515F6C"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lastRenderedPageBreak/>
        <w:t>4. Organización y Objeto Social: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Objeto social.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tiene por objeto:</w:t>
      </w:r>
    </w:p>
    <w:p w:rsidR="0044233E" w:rsidRPr="005718AC" w:rsidRDefault="0044233E" w:rsidP="0044233E">
      <w:pPr>
        <w:jc w:val="both"/>
        <w:rPr>
          <w:rFonts w:ascii="Arial" w:hAnsi="Arial" w:cs="Arial"/>
          <w:sz w:val="20"/>
          <w:szCs w:val="20"/>
        </w:rPr>
      </w:pP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Realizar la investigación aplicada y desarrollo tecnológico, pertinentes para el desarrollo económico y social de la región, del Estado y de la Nación;</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Difundir el conocimiento y la cultura a través de la extensión universitaria y la formación a lo largo de toda la vida;</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Prestar servicios tecnológicos y de asesoría, que contribuyen a mejorar el desempeño de las empresas y otra organizaciones de la región y del Estado principalmente;</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Impartir programas de educación continua con orientación a la capacitación para el trabajo y al fomento de la cultura tecnológica en la región y en el Estado; y</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Ejecutar cualquier otro que permita consolidar el modelo educativo con base en competencias.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Principal actividad.</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Pr>
          <w:rFonts w:ascii="Arial" w:hAnsi="Arial" w:cs="Arial"/>
          <w:sz w:val="20"/>
          <w:szCs w:val="20"/>
        </w:rPr>
        <w:t>La Universidad cuenta con seis</w:t>
      </w:r>
      <w:r w:rsidRPr="005718AC">
        <w:rPr>
          <w:rFonts w:ascii="Arial" w:hAnsi="Arial" w:cs="Arial"/>
          <w:sz w:val="20"/>
          <w:szCs w:val="20"/>
        </w:rPr>
        <w:t xml:space="preserve"> Programas Educativos con los que busca la formación integral de profesionales con un modelo educativo basado en competencias.</w:t>
      </w: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Eje</w:t>
      </w:r>
      <w:r>
        <w:rPr>
          <w:rFonts w:ascii="Arial" w:hAnsi="Arial" w:cs="Arial"/>
          <w:sz w:val="20"/>
          <w:szCs w:val="20"/>
        </w:rPr>
        <w:t>rcicio fiscal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El ejercicio fiscal es del 1 ° de enero al </w:t>
      </w:r>
      <w:r>
        <w:rPr>
          <w:rFonts w:ascii="Arial" w:hAnsi="Arial" w:cs="Arial"/>
          <w:sz w:val="20"/>
          <w:szCs w:val="20"/>
        </w:rPr>
        <w:t>3</w:t>
      </w:r>
      <w:r w:rsidR="00F36DA1">
        <w:rPr>
          <w:rFonts w:ascii="Arial" w:hAnsi="Arial" w:cs="Arial"/>
          <w:sz w:val="20"/>
          <w:szCs w:val="20"/>
        </w:rPr>
        <w:t>1</w:t>
      </w:r>
      <w:r>
        <w:rPr>
          <w:rFonts w:ascii="Arial" w:hAnsi="Arial" w:cs="Arial"/>
          <w:sz w:val="20"/>
          <w:szCs w:val="20"/>
        </w:rPr>
        <w:t xml:space="preserve"> </w:t>
      </w:r>
      <w:r w:rsidRPr="005718AC">
        <w:rPr>
          <w:rFonts w:ascii="Arial" w:hAnsi="Arial" w:cs="Arial"/>
          <w:sz w:val="20"/>
          <w:szCs w:val="20"/>
        </w:rPr>
        <w:t xml:space="preserve">de </w:t>
      </w:r>
      <w:r w:rsidR="00F36DA1">
        <w:rPr>
          <w:rFonts w:ascii="Arial" w:hAnsi="Arial" w:cs="Arial"/>
          <w:sz w:val="20"/>
          <w:szCs w:val="20"/>
        </w:rPr>
        <w:t>diciem</w:t>
      </w:r>
      <w:r>
        <w:rPr>
          <w:rFonts w:ascii="Arial" w:hAnsi="Arial" w:cs="Arial"/>
          <w:sz w:val="20"/>
          <w:szCs w:val="20"/>
        </w:rPr>
        <w:t xml:space="preserve">bre </w:t>
      </w:r>
      <w:r w:rsidRPr="005718AC">
        <w:rPr>
          <w:rFonts w:ascii="Arial" w:hAnsi="Arial" w:cs="Arial"/>
          <w:sz w:val="20"/>
          <w:szCs w:val="20"/>
        </w:rPr>
        <w:t>de 20</w:t>
      </w:r>
      <w:r w:rsidR="00366A63">
        <w:rPr>
          <w:rFonts w:ascii="Arial" w:hAnsi="Arial" w:cs="Arial"/>
          <w:sz w:val="20"/>
          <w:szCs w:val="20"/>
        </w:rPr>
        <w:t>2</w:t>
      </w:r>
      <w:r w:rsidR="001823AE">
        <w:rPr>
          <w:rFonts w:ascii="Arial" w:hAnsi="Arial" w:cs="Arial"/>
          <w:sz w:val="20"/>
          <w:szCs w:val="20"/>
        </w:rPr>
        <w:t>3</w:t>
      </w:r>
      <w:r w:rsidRPr="005718AC">
        <w:rPr>
          <w:rFonts w:ascii="Arial" w:hAnsi="Arial" w:cs="Arial"/>
          <w:sz w:val="20"/>
          <w:szCs w:val="20"/>
        </w:rPr>
        <w:t>.</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Pr>
          <w:rFonts w:ascii="Arial" w:hAnsi="Arial" w:cs="Arial"/>
          <w:sz w:val="20"/>
          <w:szCs w:val="20"/>
        </w:rPr>
        <w:t xml:space="preserve"> Régimen jurídico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La </w:t>
      </w:r>
      <w:r>
        <w:rPr>
          <w:rFonts w:ascii="Arial" w:hAnsi="Arial" w:cs="Arial"/>
          <w:sz w:val="20"/>
          <w:szCs w:val="20"/>
        </w:rPr>
        <w:t xml:space="preserve">Universidad </w:t>
      </w:r>
      <w:r w:rsidRPr="005718AC">
        <w:rPr>
          <w:rFonts w:ascii="Arial" w:hAnsi="Arial" w:cs="Arial"/>
          <w:sz w:val="20"/>
          <w:szCs w:val="20"/>
        </w:rPr>
        <w:t xml:space="preserve">Politécnica del Bicentenario está dada de alta en el Registro Federal de Contribuyentes bajo el régimen fiscal de Personas Morales sin fines de lucro. </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Consideraciones fiscales del ente: revelar el tipo de contribuciones que esté obligado a pagar o retener.</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w:t>
      </w:r>
      <w:r>
        <w:rPr>
          <w:rFonts w:ascii="Arial" w:hAnsi="Arial" w:cs="Arial"/>
          <w:sz w:val="20"/>
          <w:szCs w:val="20"/>
        </w:rPr>
        <w:t xml:space="preserve">d Politécnica del Bicentenario </w:t>
      </w:r>
      <w:r w:rsidRPr="005718AC">
        <w:rPr>
          <w:rFonts w:ascii="Arial" w:hAnsi="Arial" w:cs="Arial"/>
          <w:sz w:val="20"/>
          <w:szCs w:val="20"/>
        </w:rPr>
        <w:t xml:space="preserve">es no contribuyente del Impuesto Sobre la Renta en los términos del Art. 79 </w:t>
      </w:r>
      <w:proofErr w:type="spellStart"/>
      <w:r w:rsidRPr="005718AC">
        <w:rPr>
          <w:rFonts w:ascii="Arial" w:hAnsi="Arial" w:cs="Arial"/>
          <w:sz w:val="20"/>
          <w:szCs w:val="20"/>
        </w:rPr>
        <w:t>fracc.</w:t>
      </w:r>
      <w:proofErr w:type="spellEnd"/>
      <w:r w:rsidRPr="005718AC">
        <w:rPr>
          <w:rFonts w:ascii="Arial" w:hAnsi="Arial" w:cs="Arial"/>
          <w:sz w:val="20"/>
          <w:szCs w:val="20"/>
        </w:rPr>
        <w:t xml:space="preserve"> X de la LISR.</w:t>
      </w:r>
      <w:r>
        <w:rPr>
          <w:rFonts w:ascii="Arial" w:hAnsi="Arial" w:cs="Arial"/>
          <w:sz w:val="20"/>
          <w:szCs w:val="20"/>
        </w:rPr>
        <w:t xml:space="preserve"> </w:t>
      </w:r>
    </w:p>
    <w:p w:rsidR="0044233E"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se tienen las siguientes obligaciones fiscales:</w:t>
      </w:r>
    </w:p>
    <w:p w:rsidR="0044233E" w:rsidRPr="005718AC"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Presentar declaración y pago provisional mensuales de retenciones de I.S.R. por sueldos y salarios</w:t>
      </w:r>
      <w:r>
        <w:rPr>
          <w:rFonts w:ascii="Arial" w:hAnsi="Arial" w:cs="Arial"/>
          <w:sz w:val="20"/>
          <w:szCs w:val="20"/>
        </w:rPr>
        <w:t>.</w:t>
      </w:r>
    </w:p>
    <w:p w:rsidR="0044233E" w:rsidRPr="005718AC"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 xml:space="preserve">Presentar declaración y </w:t>
      </w:r>
      <w:r w:rsidR="008D0760">
        <w:rPr>
          <w:rFonts w:ascii="Arial" w:hAnsi="Arial" w:cs="Arial"/>
          <w:sz w:val="20"/>
          <w:szCs w:val="20"/>
        </w:rPr>
        <w:t>pago provisional mensuales de</w:t>
      </w:r>
      <w:r w:rsidRPr="005718AC">
        <w:rPr>
          <w:rFonts w:ascii="Arial" w:hAnsi="Arial" w:cs="Arial"/>
          <w:sz w:val="20"/>
          <w:szCs w:val="20"/>
        </w:rPr>
        <w:t xml:space="preserve"> I.S.R. por las retenciones realizadas por servicios profesionales</w:t>
      </w:r>
      <w:r>
        <w:rPr>
          <w:rFonts w:ascii="Arial" w:hAnsi="Arial" w:cs="Arial"/>
          <w:sz w:val="20"/>
          <w:szCs w:val="20"/>
        </w:rPr>
        <w:t>.</w:t>
      </w:r>
    </w:p>
    <w:p w:rsidR="0044233E" w:rsidRPr="005718AC" w:rsidRDefault="0044233E" w:rsidP="0044233E">
      <w:pPr>
        <w:jc w:val="both"/>
        <w:rPr>
          <w:rFonts w:ascii="Arial" w:hAnsi="Arial" w:cs="Arial"/>
          <w:sz w:val="20"/>
          <w:szCs w:val="20"/>
        </w:rPr>
      </w:pPr>
      <w:r w:rsidRPr="005718AC">
        <w:rPr>
          <w:rFonts w:ascii="Arial" w:hAnsi="Arial" w:cs="Arial"/>
          <w:sz w:val="20"/>
          <w:szCs w:val="20"/>
        </w:rPr>
        <w:lastRenderedPageBreak/>
        <w:t>-</w:t>
      </w:r>
      <w:r w:rsidRPr="005718AC">
        <w:rPr>
          <w:rFonts w:ascii="Arial" w:hAnsi="Arial" w:cs="Arial"/>
          <w:sz w:val="20"/>
          <w:szCs w:val="20"/>
        </w:rPr>
        <w:tab/>
        <w:t>Presentar declaración anual de I.S.R. donde se informa sobre los pagos y retenciones de servicios profesionales</w:t>
      </w:r>
      <w:r>
        <w:rPr>
          <w:rFonts w:ascii="Arial" w:hAnsi="Arial" w:cs="Arial"/>
          <w:sz w:val="20"/>
          <w:szCs w:val="20"/>
        </w:rPr>
        <w:t>.</w:t>
      </w:r>
      <w:r w:rsidRPr="005718AC">
        <w:rPr>
          <w:rFonts w:ascii="Arial" w:hAnsi="Arial" w:cs="Arial"/>
          <w:sz w:val="20"/>
          <w:szCs w:val="20"/>
        </w:rPr>
        <w:t xml:space="preserve"> </w:t>
      </w:r>
    </w:p>
    <w:p w:rsidR="0044233E" w:rsidRPr="005718AC"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Presentar declaración anual donde se informe sobre las retenciones de los trabajadores que reciben sueldos y salarios</w:t>
      </w:r>
      <w:r>
        <w:rPr>
          <w:rFonts w:ascii="Arial" w:hAnsi="Arial" w:cs="Arial"/>
          <w:sz w:val="20"/>
          <w:szCs w:val="20"/>
        </w:rPr>
        <w:t>.</w:t>
      </w:r>
    </w:p>
    <w:p w:rsidR="0044233E"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Presentar declaración Informativa anual de Subsidio al Empleo</w:t>
      </w:r>
      <w:r>
        <w:rPr>
          <w:rFonts w:ascii="Arial" w:hAnsi="Arial" w:cs="Arial"/>
          <w:sz w:val="20"/>
          <w:szCs w:val="20"/>
        </w:rPr>
        <w:t>.</w:t>
      </w:r>
    </w:p>
    <w:p w:rsidR="0044233E" w:rsidRPr="005718AC" w:rsidRDefault="0044233E" w:rsidP="0044233E">
      <w:pPr>
        <w:jc w:val="both"/>
        <w:rPr>
          <w:rFonts w:ascii="Arial" w:hAnsi="Arial" w:cs="Arial"/>
          <w:sz w:val="20"/>
          <w:szCs w:val="20"/>
        </w:rPr>
      </w:pPr>
      <w:r>
        <w:rPr>
          <w:rFonts w:ascii="Arial" w:hAnsi="Arial" w:cs="Arial"/>
          <w:sz w:val="20"/>
          <w:szCs w:val="20"/>
        </w:rPr>
        <w:t>-            Presentar declaración y pago provisional mensuales del impuesto sobre Nómina.</w:t>
      </w: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f)</w:t>
      </w:r>
      <w:r w:rsidRPr="005718AC">
        <w:rPr>
          <w:rFonts w:ascii="Arial" w:hAnsi="Arial" w:cs="Arial"/>
          <w:sz w:val="20"/>
          <w:szCs w:val="20"/>
        </w:rPr>
        <w:t xml:space="preserve"> Estructura organizacional básica.</w:t>
      </w:r>
    </w:p>
    <w:p w:rsidR="0044233E" w:rsidRDefault="0044233E" w:rsidP="0044233E">
      <w:pPr>
        <w:jc w:val="both"/>
        <w:rPr>
          <w:rFonts w:ascii="Arial" w:hAnsi="Arial" w:cs="Arial"/>
          <w:sz w:val="20"/>
          <w:szCs w:val="20"/>
        </w:rPr>
      </w:pPr>
      <w:r w:rsidRPr="005718AC">
        <w:rPr>
          <w:rFonts w:ascii="Arial" w:hAnsi="Arial" w:cs="Arial"/>
          <w:sz w:val="20"/>
          <w:szCs w:val="20"/>
        </w:rPr>
        <w:t xml:space="preserve">La estructura organizacional está basada en las estructuras que sugería la extinta CUP, Coordinación de Universidades Politécnicas de </w:t>
      </w:r>
      <w:r w:rsidR="005F5A8B" w:rsidRPr="005718AC">
        <w:rPr>
          <w:rFonts w:ascii="Arial" w:hAnsi="Arial" w:cs="Arial"/>
          <w:sz w:val="20"/>
          <w:szCs w:val="20"/>
        </w:rPr>
        <w:t>la Ciudad</w:t>
      </w:r>
      <w:r w:rsidRPr="005718AC">
        <w:rPr>
          <w:rFonts w:ascii="Arial" w:hAnsi="Arial" w:cs="Arial"/>
          <w:sz w:val="20"/>
          <w:szCs w:val="20"/>
        </w:rPr>
        <w:t xml:space="preserve"> de México, las cuales se basan en el número de alumnos con los que cuenta la Universidad y las necesidades de la misma en base al plan de estudios que ellos mismos diseñan para su aplicación.</w:t>
      </w:r>
    </w:p>
    <w:p w:rsidR="00F92B21" w:rsidRDefault="00F92B21" w:rsidP="0044233E">
      <w:pPr>
        <w:jc w:val="both"/>
        <w:rPr>
          <w:rFonts w:ascii="Arial" w:hAnsi="Arial" w:cs="Arial"/>
          <w:sz w:val="20"/>
          <w:szCs w:val="20"/>
        </w:rPr>
      </w:pPr>
    </w:p>
    <w:p w:rsidR="00F92B21" w:rsidRDefault="00F92B21" w:rsidP="0044233E">
      <w:pPr>
        <w:jc w:val="both"/>
        <w:rPr>
          <w:rFonts w:ascii="Arial" w:hAnsi="Arial" w:cs="Arial"/>
          <w:sz w:val="20"/>
          <w:szCs w:val="20"/>
        </w:rPr>
      </w:pPr>
    </w:p>
    <w:p w:rsidR="00F92B21" w:rsidRDefault="00F92B21" w:rsidP="0044233E">
      <w:pPr>
        <w:jc w:val="both"/>
        <w:rPr>
          <w:rFonts w:ascii="Arial" w:hAnsi="Arial" w:cs="Arial"/>
          <w:sz w:val="20"/>
          <w:szCs w:val="20"/>
        </w:rPr>
      </w:pPr>
    </w:p>
    <w:p w:rsidR="00F92B21" w:rsidRPr="005718AC" w:rsidRDefault="00F92B21" w:rsidP="0044233E">
      <w:pPr>
        <w:jc w:val="both"/>
        <w:rPr>
          <w:rFonts w:ascii="Arial" w:hAnsi="Arial" w:cs="Arial"/>
          <w:sz w:val="20"/>
          <w:szCs w:val="20"/>
        </w:rPr>
      </w:pPr>
    </w:p>
    <w:tbl>
      <w:tblPr>
        <w:tblW w:w="7660" w:type="dxa"/>
        <w:tblCellMar>
          <w:left w:w="70" w:type="dxa"/>
          <w:right w:w="70" w:type="dxa"/>
        </w:tblCellMar>
        <w:tblLook w:val="04A0" w:firstRow="1" w:lastRow="0" w:firstColumn="1" w:lastColumn="0" w:noHBand="0" w:noVBand="1"/>
      </w:tblPr>
      <w:tblGrid>
        <w:gridCol w:w="5340"/>
        <w:gridCol w:w="2320"/>
      </w:tblGrid>
      <w:tr w:rsidR="009C5877" w:rsidRPr="009C5877" w:rsidTr="009C5877">
        <w:trPr>
          <w:trHeight w:val="600"/>
        </w:trPr>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5877" w:rsidRPr="009C5877" w:rsidRDefault="009C5877" w:rsidP="009C5877">
            <w:pPr>
              <w:jc w:val="center"/>
              <w:rPr>
                <w:rFonts w:ascii="Calibri" w:hAnsi="Calibri" w:cs="Calibri"/>
                <w:b/>
                <w:bCs/>
                <w:color w:val="000000"/>
                <w:sz w:val="22"/>
                <w:szCs w:val="22"/>
                <w:lang w:val="es-MX" w:eastAsia="es-MX"/>
              </w:rPr>
            </w:pPr>
            <w:r w:rsidRPr="009C5877">
              <w:rPr>
                <w:rFonts w:ascii="Calibri" w:hAnsi="Calibri" w:cs="Calibri"/>
                <w:b/>
                <w:bCs/>
                <w:color w:val="000000"/>
                <w:sz w:val="22"/>
                <w:szCs w:val="22"/>
                <w:lang w:val="es-MX" w:eastAsia="es-MX"/>
              </w:rPr>
              <w:t>NOMENCLATURA</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9C5877" w:rsidRPr="009C5877" w:rsidRDefault="009C5877" w:rsidP="009C5877">
            <w:pPr>
              <w:jc w:val="center"/>
              <w:rPr>
                <w:rFonts w:ascii="Calibri" w:hAnsi="Calibri" w:cs="Calibri"/>
                <w:b/>
                <w:bCs/>
                <w:color w:val="000000"/>
                <w:sz w:val="22"/>
                <w:szCs w:val="22"/>
                <w:lang w:val="es-MX" w:eastAsia="es-MX"/>
              </w:rPr>
            </w:pPr>
            <w:r w:rsidRPr="009C5877">
              <w:rPr>
                <w:rFonts w:ascii="Calibri" w:hAnsi="Calibri" w:cs="Calibri"/>
                <w:b/>
                <w:bCs/>
                <w:color w:val="000000"/>
                <w:sz w:val="22"/>
                <w:szCs w:val="22"/>
                <w:lang w:val="es-MX" w:eastAsia="es-MX"/>
              </w:rPr>
              <w:t>NÚMERO DE</w:t>
            </w:r>
            <w:r w:rsidRPr="009C5877">
              <w:rPr>
                <w:rFonts w:ascii="Calibri" w:hAnsi="Calibri" w:cs="Calibri"/>
                <w:b/>
                <w:bCs/>
                <w:color w:val="000000"/>
                <w:sz w:val="22"/>
                <w:szCs w:val="22"/>
                <w:lang w:val="es-MX" w:eastAsia="es-MX"/>
              </w:rPr>
              <w:br/>
              <w:t>PLAZAS</w:t>
            </w:r>
          </w:p>
        </w:tc>
      </w:tr>
      <w:tr w:rsidR="009C5877" w:rsidRPr="009C5877" w:rsidTr="009C5877">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RECTOR</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9C5877">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SECRETARIO ACADÉMICO</w:t>
            </w:r>
          </w:p>
        </w:tc>
        <w:tc>
          <w:tcPr>
            <w:tcW w:w="2320" w:type="dxa"/>
            <w:tcBorders>
              <w:top w:val="nil"/>
              <w:left w:val="nil"/>
              <w:bottom w:val="single" w:sz="4" w:space="0" w:color="auto"/>
              <w:right w:val="single" w:sz="4" w:space="0" w:color="auto"/>
            </w:tcBorders>
            <w:shd w:val="clear" w:color="000000" w:fill="D9D9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9C5877">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SECRETARIO ADMINISTRATIVO</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bookmarkStart w:id="0" w:name="_GoBack"/>
        <w:bookmarkEnd w:id="0"/>
      </w:tr>
      <w:tr w:rsidR="009C5877" w:rsidRPr="009C5877" w:rsidTr="009C5877">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ABOGADA GENERAL</w:t>
            </w:r>
          </w:p>
        </w:tc>
        <w:tc>
          <w:tcPr>
            <w:tcW w:w="2320" w:type="dxa"/>
            <w:tcBorders>
              <w:top w:val="nil"/>
              <w:left w:val="nil"/>
              <w:bottom w:val="single" w:sz="4" w:space="0" w:color="auto"/>
              <w:right w:val="single" w:sz="4" w:space="0" w:color="auto"/>
            </w:tcBorders>
            <w:shd w:val="clear" w:color="000000" w:fill="D9D9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9C5877">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DIRECTORES</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4</w:t>
            </w:r>
          </w:p>
        </w:tc>
      </w:tr>
      <w:tr w:rsidR="003E1866" w:rsidRPr="009C5877" w:rsidTr="009C5877">
        <w:trPr>
          <w:trHeight w:val="300"/>
        </w:trPr>
        <w:tc>
          <w:tcPr>
            <w:tcW w:w="5340" w:type="dxa"/>
            <w:tcBorders>
              <w:top w:val="nil"/>
              <w:left w:val="single" w:sz="4" w:space="0" w:color="auto"/>
              <w:bottom w:val="single" w:sz="4" w:space="0" w:color="auto"/>
              <w:right w:val="single" w:sz="4" w:space="0" w:color="auto"/>
            </w:tcBorders>
            <w:shd w:val="clear" w:color="000000" w:fill="D9D9D9"/>
            <w:noWrap/>
            <w:vAlign w:val="bottom"/>
          </w:tcPr>
          <w:p w:rsidR="003E1866" w:rsidRPr="009C5877" w:rsidRDefault="003E1866" w:rsidP="009C5877">
            <w:pPr>
              <w:rPr>
                <w:rFonts w:ascii="Calibri" w:hAnsi="Calibri" w:cs="Calibri"/>
                <w:color w:val="000000"/>
                <w:sz w:val="22"/>
                <w:szCs w:val="22"/>
                <w:lang w:val="es-MX" w:eastAsia="es-MX"/>
              </w:rPr>
            </w:pPr>
            <w:r>
              <w:rPr>
                <w:rFonts w:ascii="Calibri" w:hAnsi="Calibri" w:cs="Calibri"/>
                <w:color w:val="000000"/>
                <w:sz w:val="22"/>
                <w:szCs w:val="22"/>
                <w:lang w:val="es-MX" w:eastAsia="es-MX"/>
              </w:rPr>
              <w:t>SUBDIRECTOR DE COMUNICACIÓN Y ENLACE</w:t>
            </w:r>
          </w:p>
        </w:tc>
        <w:tc>
          <w:tcPr>
            <w:tcW w:w="2320" w:type="dxa"/>
            <w:tcBorders>
              <w:top w:val="nil"/>
              <w:left w:val="nil"/>
              <w:bottom w:val="single" w:sz="4" w:space="0" w:color="auto"/>
              <w:right w:val="single" w:sz="4" w:space="0" w:color="auto"/>
            </w:tcBorders>
            <w:shd w:val="clear" w:color="000000" w:fill="D9D9D9"/>
            <w:noWrap/>
            <w:vAlign w:val="bottom"/>
          </w:tcPr>
          <w:p w:rsidR="003E1866" w:rsidRPr="009C5877" w:rsidRDefault="003E1866" w:rsidP="003E1866">
            <w:pPr>
              <w:jc w:val="center"/>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SUBDIRECTOR DE PLANEACIÓN</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PROFESOR DE TIEMPO COMPLETO "B"</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2</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PROFESOR DE TIEMPO COMPLETO "A"</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32</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JEFE DE DEPARTAMENTO "A"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12</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COORDINADOR</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8</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JEFE DE OFICINA</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2</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TÉCNICO EN MANTENIMIENTO</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CHOFER DEL RECTOR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SECRETARIA DEL RECTOR</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CHOFER</w:t>
            </w:r>
          </w:p>
        </w:tc>
        <w:tc>
          <w:tcPr>
            <w:tcW w:w="2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3E1866">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TÉCNICO BIBLIOTECARIO</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1</w:t>
            </w:r>
          </w:p>
        </w:tc>
      </w:tr>
      <w:tr w:rsidR="009C5877" w:rsidRPr="009C5877" w:rsidTr="009C5877">
        <w:trPr>
          <w:trHeight w:val="300"/>
        </w:trPr>
        <w:tc>
          <w:tcPr>
            <w:tcW w:w="5340" w:type="dxa"/>
            <w:tcBorders>
              <w:top w:val="nil"/>
              <w:left w:val="single" w:sz="4" w:space="0" w:color="auto"/>
              <w:bottom w:val="single" w:sz="4" w:space="0" w:color="auto"/>
              <w:right w:val="single" w:sz="4" w:space="0" w:color="auto"/>
            </w:tcBorders>
            <w:shd w:val="clear" w:color="auto" w:fill="auto"/>
            <w:noWrap/>
            <w:vAlign w:val="bottom"/>
            <w:hideMark/>
          </w:tcPr>
          <w:p w:rsidR="009C5877" w:rsidRPr="009C5877" w:rsidRDefault="009C5877" w:rsidP="009C5877">
            <w:pPr>
              <w:jc w:val="right"/>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TOTAL</w:t>
            </w:r>
          </w:p>
        </w:tc>
        <w:tc>
          <w:tcPr>
            <w:tcW w:w="2320" w:type="dxa"/>
            <w:tcBorders>
              <w:top w:val="nil"/>
              <w:left w:val="nil"/>
              <w:bottom w:val="single" w:sz="4" w:space="0" w:color="auto"/>
              <w:right w:val="single" w:sz="4" w:space="0" w:color="auto"/>
            </w:tcBorders>
            <w:shd w:val="clear" w:color="auto" w:fill="auto"/>
            <w:noWrap/>
            <w:vAlign w:val="bottom"/>
            <w:hideMark/>
          </w:tcPr>
          <w:p w:rsidR="009C5877" w:rsidRPr="009C5877" w:rsidRDefault="009C5877" w:rsidP="009C5877">
            <w:pPr>
              <w:jc w:val="center"/>
              <w:rPr>
                <w:rFonts w:ascii="Calibri" w:hAnsi="Calibri" w:cs="Calibri"/>
                <w:color w:val="000000"/>
                <w:sz w:val="22"/>
                <w:szCs w:val="22"/>
                <w:lang w:val="es-MX" w:eastAsia="es-MX"/>
              </w:rPr>
            </w:pPr>
            <w:r w:rsidRPr="009C5877">
              <w:rPr>
                <w:rFonts w:ascii="Calibri" w:hAnsi="Calibri" w:cs="Calibri"/>
                <w:color w:val="000000"/>
                <w:sz w:val="22"/>
                <w:szCs w:val="22"/>
                <w:lang w:val="es-MX" w:eastAsia="es-MX"/>
              </w:rPr>
              <w:t>7</w:t>
            </w:r>
            <w:r w:rsidR="003E1866">
              <w:rPr>
                <w:rFonts w:ascii="Calibri" w:hAnsi="Calibri" w:cs="Calibri"/>
                <w:color w:val="000000"/>
                <w:sz w:val="22"/>
                <w:szCs w:val="22"/>
                <w:lang w:val="es-MX" w:eastAsia="es-MX"/>
              </w:rPr>
              <w:t>1</w:t>
            </w:r>
          </w:p>
        </w:tc>
      </w:tr>
    </w:tbl>
    <w:p w:rsidR="0044233E" w:rsidRDefault="0044233E" w:rsidP="0044233E">
      <w:pPr>
        <w:jc w:val="both"/>
        <w:rPr>
          <w:rFonts w:ascii="Arial" w:hAnsi="Arial" w:cs="Arial"/>
          <w:sz w:val="20"/>
          <w:szCs w:val="20"/>
        </w:rPr>
      </w:pPr>
    </w:p>
    <w:p w:rsidR="00853CDB" w:rsidRDefault="00853CDB"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g)</w:t>
      </w:r>
      <w:r w:rsidRPr="005718AC">
        <w:rPr>
          <w:rFonts w:ascii="Arial" w:hAnsi="Arial" w:cs="Arial"/>
          <w:sz w:val="20"/>
          <w:szCs w:val="20"/>
        </w:rPr>
        <w:t xml:space="preserve"> Fideicomisos, mandatos y análogos de los cuales es fideicomitente o fiduciario.</w:t>
      </w:r>
    </w:p>
    <w:p w:rsidR="0044233E" w:rsidRPr="005718AC" w:rsidRDefault="0044233E" w:rsidP="0044233E">
      <w:pPr>
        <w:jc w:val="both"/>
        <w:rPr>
          <w:rFonts w:ascii="Arial" w:hAnsi="Arial" w:cs="Arial"/>
          <w:sz w:val="20"/>
          <w:szCs w:val="20"/>
        </w:rPr>
      </w:pPr>
    </w:p>
    <w:p w:rsidR="00FA71CD" w:rsidRPr="00515F6C" w:rsidRDefault="0044233E" w:rsidP="0044233E">
      <w:pPr>
        <w:jc w:val="both"/>
        <w:rPr>
          <w:rFonts w:ascii="Arial" w:hAnsi="Arial" w:cs="Arial"/>
          <w:sz w:val="20"/>
          <w:szCs w:val="20"/>
        </w:rPr>
      </w:pPr>
      <w:r w:rsidRPr="005718AC">
        <w:rPr>
          <w:rFonts w:ascii="Arial" w:hAnsi="Arial" w:cs="Arial"/>
          <w:sz w:val="20"/>
          <w:szCs w:val="20"/>
        </w:rPr>
        <w:t>A la fecha la Universidad no cuenta con fideicomisos, mandatos y análogos.</w:t>
      </w:r>
    </w:p>
    <w:p w:rsidR="00FA71CD" w:rsidRDefault="00FA71CD"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5. Bases de Preparación de los Estados Financieros: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Si se ha observado la normatividad emitida por el CONAC y las disposiciones legales aplicables.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Las bases de preparación de los Estados Financieros observan en cierta medida la normatividad emitida por el CONAC y las disposiciones legales aplicables.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Postulados básicos.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sz w:val="20"/>
          <w:szCs w:val="20"/>
        </w:rPr>
        <w:t xml:space="preserve">Las bases de preparación de los Estados Financieros aplican los Postulados Básicos de registro contable </w:t>
      </w:r>
      <w:r w:rsidR="000F1B16" w:rsidRPr="005718AC">
        <w:rPr>
          <w:rFonts w:ascii="Arial" w:hAnsi="Arial" w:cs="Arial"/>
          <w:sz w:val="20"/>
          <w:szCs w:val="20"/>
        </w:rPr>
        <w:t>incluyendo el</w:t>
      </w:r>
      <w:r w:rsidRPr="005718AC">
        <w:rPr>
          <w:rFonts w:ascii="Arial" w:hAnsi="Arial" w:cs="Arial"/>
          <w:sz w:val="20"/>
          <w:szCs w:val="20"/>
        </w:rPr>
        <w:t xml:space="preserve"> devengo del ingreso.</w:t>
      </w:r>
    </w:p>
    <w:p w:rsidR="002356D1" w:rsidRDefault="002356D1" w:rsidP="0044233E">
      <w:pPr>
        <w:jc w:val="both"/>
        <w:rPr>
          <w:rFonts w:ascii="Arial" w:hAnsi="Arial" w:cs="Arial"/>
          <w:sz w:val="20"/>
          <w:szCs w:val="20"/>
        </w:rPr>
      </w:pPr>
    </w:p>
    <w:p w:rsidR="002356D1" w:rsidRDefault="002356D1" w:rsidP="0044233E">
      <w:pPr>
        <w:jc w:val="both"/>
        <w:rPr>
          <w:rFonts w:ascii="Arial" w:hAnsi="Arial" w:cs="Arial"/>
          <w:sz w:val="20"/>
          <w:szCs w:val="20"/>
        </w:rPr>
      </w:pPr>
      <w:r>
        <w:rPr>
          <w:rFonts w:ascii="Arial" w:hAnsi="Arial" w:cs="Arial"/>
          <w:color w:val="202124"/>
          <w:sz w:val="21"/>
          <w:szCs w:val="21"/>
          <w:shd w:val="clear" w:color="auto" w:fill="FFFFFF"/>
        </w:rPr>
        <w:t>No se refleja equilibrio presupuestal entre el ingreso y gasto a nivel "Modificado" de Recurso Propio 202</w:t>
      </w:r>
      <w:r w:rsidR="00686EFE">
        <w:rPr>
          <w:rFonts w:ascii="Arial" w:hAnsi="Arial" w:cs="Arial"/>
          <w:color w:val="202124"/>
          <w:sz w:val="21"/>
          <w:szCs w:val="21"/>
          <w:shd w:val="clear" w:color="auto" w:fill="FFFFFF"/>
        </w:rPr>
        <w:t>3</w:t>
      </w:r>
      <w:r>
        <w:rPr>
          <w:rFonts w:ascii="Arial" w:hAnsi="Arial" w:cs="Arial"/>
          <w:color w:val="202124"/>
          <w:sz w:val="21"/>
          <w:szCs w:val="21"/>
          <w:shd w:val="clear" w:color="auto" w:fill="FFFFFF"/>
        </w:rPr>
        <w:t xml:space="preserve"> derivado del cumplimiento con lo señalado en el artículo 41 de los Lineamientos Generales de Racionalidad, Austeridad y Disciplina Presupuestal de la Administración Pública Estatal para el Ejercicio Fiscal del 202</w:t>
      </w:r>
      <w:r w:rsidR="00686EFE">
        <w:rPr>
          <w:rFonts w:ascii="Arial" w:hAnsi="Arial" w:cs="Arial"/>
          <w:color w:val="202124"/>
          <w:sz w:val="21"/>
          <w:szCs w:val="21"/>
          <w:shd w:val="clear" w:color="auto" w:fill="FFFFFF"/>
        </w:rPr>
        <w:t>3.</w:t>
      </w:r>
    </w:p>
    <w:p w:rsidR="000F1B16" w:rsidRDefault="000F1B16"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Normatividad supletoria.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Al recibir ingresos de origen Federal, la Universidad se encuentra sujeta a la aplicación de las leyes federales para la correcta aplicación y manejo de los mismos, así como a las reglas de carácter general que para cada uno de los recursos apliquen, en el caso del Fondo de Aportación Múltiple se considera la Ley de Coordinación Fiscal para su ejercicio.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Para las entidades que por primera vez estén implementando la base devengado de acuerdo a la Ley de Contabilidad, deberán:</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*Revelar las nuevas políticas de reconocimiento:</w:t>
      </w:r>
    </w:p>
    <w:p w:rsidR="0044233E" w:rsidRPr="005718AC" w:rsidRDefault="0044233E" w:rsidP="0044233E">
      <w:pPr>
        <w:jc w:val="both"/>
        <w:rPr>
          <w:rFonts w:ascii="Arial" w:hAnsi="Arial" w:cs="Arial"/>
          <w:sz w:val="20"/>
          <w:szCs w:val="20"/>
        </w:rPr>
      </w:pPr>
    </w:p>
    <w:p w:rsidR="001823AE" w:rsidRDefault="001823AE" w:rsidP="0044233E">
      <w:pPr>
        <w:jc w:val="both"/>
        <w:rPr>
          <w:rFonts w:ascii="Arial" w:hAnsi="Arial" w:cs="Arial"/>
          <w:sz w:val="20"/>
          <w:szCs w:val="20"/>
        </w:rPr>
      </w:pPr>
    </w:p>
    <w:p w:rsidR="001823AE" w:rsidRDefault="001823AE" w:rsidP="0044233E">
      <w:pPr>
        <w:jc w:val="both"/>
        <w:rPr>
          <w:rFonts w:ascii="Arial" w:hAnsi="Arial" w:cs="Arial"/>
          <w:sz w:val="20"/>
          <w:szCs w:val="20"/>
        </w:rPr>
      </w:pPr>
    </w:p>
    <w:p w:rsidR="001823AE" w:rsidRDefault="001823A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Politécnica del bicentenario trabaja con la base de presupuesto devengado desde su inicio de operaciones en 2011.</w:t>
      </w:r>
    </w:p>
    <w:p w:rsidR="0044233E" w:rsidRPr="005718AC" w:rsidRDefault="0044233E" w:rsidP="0044233E">
      <w:pPr>
        <w:jc w:val="both"/>
        <w:rPr>
          <w:rFonts w:ascii="Arial" w:hAnsi="Arial" w:cs="Arial"/>
          <w:sz w:val="20"/>
          <w:szCs w:val="20"/>
        </w:rPr>
      </w:pPr>
      <w:r w:rsidRPr="005718AC">
        <w:rPr>
          <w:rFonts w:ascii="Arial" w:hAnsi="Arial" w:cs="Arial"/>
          <w:sz w:val="20"/>
          <w:szCs w:val="20"/>
        </w:rPr>
        <w:t>*Plan de implementación:</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AA2007" w:rsidRDefault="0044233E" w:rsidP="0044233E">
      <w:pPr>
        <w:jc w:val="both"/>
        <w:rPr>
          <w:rFonts w:ascii="Arial" w:hAnsi="Arial" w:cs="Arial"/>
          <w:sz w:val="20"/>
          <w:szCs w:val="20"/>
        </w:rPr>
      </w:pPr>
      <w:r w:rsidRPr="005718AC">
        <w:rPr>
          <w:rFonts w:ascii="Arial" w:hAnsi="Arial" w:cs="Arial"/>
          <w:sz w:val="20"/>
          <w:szCs w:val="20"/>
        </w:rPr>
        <w:t>*Revelar los cambios en las políticas, la clasificación y medición de las mismas, así como su impacto en la información financiera:</w:t>
      </w:r>
    </w:p>
    <w:p w:rsidR="0044233E"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6. Políticas de Contabilidad Significativas: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Se informará sobre: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Los activos se registran a su costo de adquisición.</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Informar sobre la realización de operaciones en el extranjero y de sus efectos en la información financiera gubernamental: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realiza operaciones en el extranjero.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Método de valuación de la inversión en acciones de Compañías subsidiarias no consolidadas y asociadas: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cuenta con inversión en acciones de Compañías subsidiarias no consolidadas y asociadas.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Sistema y método de valuación de inventarios y costo de lo vendido: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cuenta con inventarios.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cuenta con reserva actuarial, valor presente de los ingresos esperados comparado con el valor presente de la estimación de gastos tanto de los beneficiarios actuales como futuros.</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f)</w:t>
      </w:r>
      <w:r w:rsidRPr="005718AC">
        <w:rPr>
          <w:rFonts w:ascii="Arial" w:hAnsi="Arial" w:cs="Arial"/>
          <w:sz w:val="20"/>
          <w:szCs w:val="20"/>
        </w:rPr>
        <w:t xml:space="preserve"> Provisiones: objetivo de su creación, monto y plazo: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provisiones.</w:t>
      </w: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g)</w:t>
      </w:r>
      <w:r w:rsidRPr="005718AC">
        <w:rPr>
          <w:rFonts w:ascii="Arial" w:hAnsi="Arial" w:cs="Arial"/>
          <w:sz w:val="20"/>
          <w:szCs w:val="20"/>
        </w:rPr>
        <w:t xml:space="preserve"> Reservas: objetivo de su creación, monto y plazo:</w:t>
      </w: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reservas.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h)</w:t>
      </w:r>
      <w:r w:rsidRPr="005718AC">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i)</w:t>
      </w:r>
      <w:r w:rsidRPr="005718AC">
        <w:rPr>
          <w:rFonts w:ascii="Arial" w:hAnsi="Arial" w:cs="Arial"/>
          <w:sz w:val="20"/>
          <w:szCs w:val="20"/>
        </w:rPr>
        <w:t xml:space="preserve"> Reclasificaciones: Se deben revelar todos aquellos movimientos entre cuentas por efectos de cambios en los tipos de operaciones: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reclasificaciones por efectos de cambio en los tipos de operaciones.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j)</w:t>
      </w:r>
      <w:r w:rsidRPr="005718AC">
        <w:rPr>
          <w:rFonts w:ascii="Arial" w:hAnsi="Arial" w:cs="Arial"/>
          <w:sz w:val="20"/>
          <w:szCs w:val="20"/>
        </w:rPr>
        <w:t xml:space="preserve"> Depuración y cancelación de saldos: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sz w:val="20"/>
          <w:szCs w:val="20"/>
        </w:rPr>
        <w:t>A la fecha la Universidad no ha realizado depuración y cancelación de saldos.</w:t>
      </w:r>
    </w:p>
    <w:p w:rsidR="0044233E" w:rsidRPr="005718AC" w:rsidRDefault="0044233E" w:rsidP="0044233E">
      <w:pPr>
        <w:jc w:val="both"/>
        <w:rPr>
          <w:rFonts w:ascii="Arial" w:hAnsi="Arial" w:cs="Arial"/>
          <w:sz w:val="20"/>
          <w:szCs w:val="20"/>
        </w:rPr>
      </w:pPr>
    </w:p>
    <w:p w:rsidR="00F36DA1" w:rsidRDefault="00F36DA1"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7. Posición en Moneda Extranjera y Protección por Riesgo Cambiario: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Se informará sobre: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Activos en moneda extranjera:</w:t>
      </w: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tiene activos en moneda extranjera.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Pasivos en moneda extranjera: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tiene pasivos en moneda extranjera.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 xml:space="preserve">c) </w:t>
      </w:r>
      <w:r w:rsidRPr="005718AC">
        <w:rPr>
          <w:rFonts w:ascii="Arial" w:hAnsi="Arial" w:cs="Arial"/>
          <w:sz w:val="20"/>
          <w:szCs w:val="20"/>
        </w:rPr>
        <w:t>Posición en moneda extranjera:</w:t>
      </w:r>
    </w:p>
    <w:p w:rsidR="0044233E" w:rsidRPr="005718AC" w:rsidRDefault="0044233E" w:rsidP="0044233E">
      <w:pPr>
        <w:jc w:val="both"/>
        <w:rPr>
          <w:rFonts w:ascii="Arial" w:hAnsi="Arial" w:cs="Arial"/>
          <w:sz w:val="20"/>
          <w:szCs w:val="20"/>
        </w:rPr>
      </w:pPr>
    </w:p>
    <w:p w:rsidR="0044233E" w:rsidRPr="004726CD" w:rsidRDefault="0044233E" w:rsidP="0044233E">
      <w:pPr>
        <w:jc w:val="both"/>
        <w:rPr>
          <w:rFonts w:ascii="Arial" w:hAnsi="Arial" w:cs="Arial"/>
          <w:sz w:val="20"/>
          <w:szCs w:val="20"/>
        </w:rPr>
      </w:pPr>
      <w:r w:rsidRPr="005718AC">
        <w:rPr>
          <w:rFonts w:ascii="Arial" w:hAnsi="Arial" w:cs="Arial"/>
          <w:sz w:val="20"/>
          <w:szCs w:val="20"/>
        </w:rPr>
        <w:t>A la fecha la Universidad no ha realizado operaciones en moneda extranjera.</w:t>
      </w: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Tipo de cambio: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operaciones en moneda extranjera que impliquen el uso de tipos de cambio.</w:t>
      </w: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 xml:space="preserve">e) </w:t>
      </w:r>
      <w:r w:rsidRPr="005718AC">
        <w:rPr>
          <w:rFonts w:ascii="Arial" w:hAnsi="Arial" w:cs="Arial"/>
          <w:sz w:val="20"/>
          <w:szCs w:val="20"/>
        </w:rPr>
        <w:t>Equivalente en moneda nacional:</w:t>
      </w:r>
    </w:p>
    <w:p w:rsidR="0044233E" w:rsidRPr="005718AC" w:rsidRDefault="0044233E" w:rsidP="0044233E">
      <w:pPr>
        <w:jc w:val="both"/>
        <w:rPr>
          <w:rFonts w:ascii="Arial" w:hAnsi="Arial" w:cs="Arial"/>
          <w:sz w:val="20"/>
          <w:szCs w:val="20"/>
        </w:rPr>
      </w:pPr>
    </w:p>
    <w:p w:rsidR="001823A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r w:rsidRPr="005718AC">
        <w:rPr>
          <w:rFonts w:ascii="Arial" w:hAnsi="Arial" w:cs="Arial"/>
          <w:sz w:val="20"/>
          <w:szCs w:val="20"/>
        </w:rPr>
        <w:t>Lo anterior por cada tipo de moneda extranjera que se encuentre en los rubros de activo y pasivo.</w:t>
      </w:r>
    </w:p>
    <w:p w:rsidR="0044233E" w:rsidRPr="005718AC" w:rsidRDefault="0044233E" w:rsidP="0044233E">
      <w:pPr>
        <w:jc w:val="both"/>
        <w:rPr>
          <w:rFonts w:ascii="Arial" w:hAnsi="Arial" w:cs="Arial"/>
          <w:sz w:val="20"/>
          <w:szCs w:val="20"/>
        </w:rPr>
      </w:pPr>
      <w:r w:rsidRPr="005718AC">
        <w:rPr>
          <w:rFonts w:ascii="Arial" w:hAnsi="Arial" w:cs="Arial"/>
          <w:sz w:val="20"/>
          <w:szCs w:val="20"/>
        </w:rPr>
        <w:t>Adicionalmente se informará sobre los métodos de protección de riesgo por variaciones en el tipo de cambio.</w:t>
      </w:r>
    </w:p>
    <w:p w:rsidR="007150A9" w:rsidRDefault="007150A9"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8. Reporte Analítico del Activo:</w:t>
      </w:r>
    </w:p>
    <w:p w:rsidR="0044233E" w:rsidRPr="005718AC" w:rsidRDefault="0044233E" w:rsidP="0044233E">
      <w:pPr>
        <w:jc w:val="both"/>
        <w:rPr>
          <w:rFonts w:ascii="Arial" w:hAnsi="Arial" w:cs="Arial"/>
          <w:sz w:val="20"/>
          <w:szCs w:val="20"/>
        </w:rPr>
      </w:pPr>
    </w:p>
    <w:p w:rsidR="0044233E" w:rsidRPr="00AA2007" w:rsidRDefault="0044233E" w:rsidP="0044233E">
      <w:pPr>
        <w:jc w:val="both"/>
        <w:rPr>
          <w:rFonts w:ascii="Arial" w:hAnsi="Arial" w:cs="Arial"/>
          <w:sz w:val="20"/>
          <w:szCs w:val="20"/>
        </w:rPr>
      </w:pPr>
      <w:r w:rsidRPr="005718AC">
        <w:rPr>
          <w:rFonts w:ascii="Arial" w:hAnsi="Arial" w:cs="Arial"/>
          <w:sz w:val="20"/>
          <w:szCs w:val="20"/>
        </w:rPr>
        <w:t>Debe mostrar la siguiente información:</w:t>
      </w: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Vida útil o porcentajes de depreciación, deterioro o amortización utilizados en los diferentes tipos de activos: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p>
    <w:p w:rsidR="00366A63" w:rsidRDefault="00366A63" w:rsidP="0044233E">
      <w:pPr>
        <w:jc w:val="both"/>
        <w:rPr>
          <w:rFonts w:ascii="Arial" w:hAnsi="Arial" w:cs="Arial"/>
          <w:sz w:val="20"/>
          <w:szCs w:val="20"/>
        </w:rPr>
      </w:pPr>
    </w:p>
    <w:p w:rsidR="00366A63" w:rsidRDefault="00DE4BC5" w:rsidP="0044233E">
      <w:pPr>
        <w:jc w:val="both"/>
        <w:rPr>
          <w:rFonts w:ascii="Arial" w:hAnsi="Arial" w:cs="Arial"/>
          <w:sz w:val="20"/>
          <w:szCs w:val="20"/>
        </w:rPr>
      </w:pPr>
      <w:r>
        <w:rPr>
          <w:noProof/>
          <w:lang w:val="es-MX" w:eastAsia="es-MX"/>
        </w:rPr>
        <w:drawing>
          <wp:anchor distT="0" distB="0" distL="114300" distR="114300" simplePos="0" relativeHeight="251665408" behindDoc="1" locked="0" layoutInCell="1" allowOverlap="1" wp14:anchorId="764A8D35" wp14:editId="2518213E">
            <wp:simplePos x="0" y="0"/>
            <wp:positionH relativeFrom="margin">
              <wp:align>left</wp:align>
            </wp:positionH>
            <wp:positionV relativeFrom="page">
              <wp:posOffset>2457450</wp:posOffset>
            </wp:positionV>
            <wp:extent cx="4277995" cy="3389630"/>
            <wp:effectExtent l="0" t="0" r="8255"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7995" cy="3389630"/>
                    </a:xfrm>
                    <a:prstGeom prst="rect">
                      <a:avLst/>
                    </a:prstGeom>
                  </pic:spPr>
                </pic:pic>
              </a:graphicData>
            </a:graphic>
            <wp14:sizeRelH relativeFrom="margin">
              <wp14:pctWidth>0</wp14:pctWidth>
            </wp14:sizeRelH>
            <wp14:sizeRelV relativeFrom="margin">
              <wp14:pctHeight>0</wp14:pctHeight>
            </wp14:sizeRelV>
          </wp:anchor>
        </w:drawing>
      </w: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2356D1" w:rsidRDefault="002356D1" w:rsidP="0044233E">
      <w:pPr>
        <w:jc w:val="both"/>
        <w:rPr>
          <w:rFonts w:ascii="Arial" w:hAnsi="Arial" w:cs="Arial"/>
          <w:sz w:val="20"/>
          <w:szCs w:val="20"/>
        </w:rPr>
      </w:pPr>
    </w:p>
    <w:p w:rsidR="00853CDB" w:rsidRDefault="00853CDB" w:rsidP="0044233E">
      <w:pPr>
        <w:jc w:val="both"/>
        <w:rPr>
          <w:rFonts w:ascii="Arial" w:hAnsi="Arial" w:cs="Arial"/>
          <w:b/>
          <w:sz w:val="20"/>
          <w:szCs w:val="20"/>
        </w:rPr>
      </w:pPr>
    </w:p>
    <w:p w:rsidR="00853CDB" w:rsidRDefault="00853CDB" w:rsidP="0044233E">
      <w:pPr>
        <w:jc w:val="both"/>
        <w:rPr>
          <w:rFonts w:ascii="Arial" w:hAnsi="Arial" w:cs="Arial"/>
          <w:b/>
          <w:sz w:val="20"/>
          <w:szCs w:val="20"/>
        </w:rPr>
      </w:pPr>
    </w:p>
    <w:p w:rsidR="00853CDB" w:rsidRDefault="00853CDB"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Cambios en el porcentaje de depreciación o valor residual de los activos: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De conformidad con la norma de CONAC y los alcances del SIHP, actualmente sólo pueden considerarse las 40 clases de activos vigentes.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Importe de los gastos capitalizados en el ejercicio, tanto financieros como de investigación y desarrollo: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Capitalización de activo fijo cuenta de patrimonio </w:t>
      </w: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Riegos por tipo de cambio o tipo de interés de las inversiones financieras:</w:t>
      </w: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 xml:space="preserve">e) </w:t>
      </w:r>
      <w:r w:rsidRPr="005718AC">
        <w:rPr>
          <w:rFonts w:ascii="Arial" w:hAnsi="Arial" w:cs="Arial"/>
          <w:sz w:val="20"/>
          <w:szCs w:val="20"/>
        </w:rPr>
        <w:t>Valor activado en el ejercicio de los bienes construidos por la entidad:</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f)</w:t>
      </w:r>
      <w:r w:rsidRPr="005718AC">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g)</w:t>
      </w:r>
      <w:r w:rsidRPr="005718AC">
        <w:rPr>
          <w:rFonts w:ascii="Arial" w:hAnsi="Arial" w:cs="Arial"/>
          <w:sz w:val="20"/>
          <w:szCs w:val="20"/>
        </w:rPr>
        <w:t xml:space="preserve"> Desmantelamiento de Activos, procedimientos, implicaciones, efectos contables:</w:t>
      </w:r>
    </w:p>
    <w:p w:rsidR="0044233E"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h)</w:t>
      </w:r>
      <w:r w:rsidRPr="005718AC">
        <w:rPr>
          <w:rFonts w:ascii="Arial" w:hAnsi="Arial" w:cs="Arial"/>
          <w:sz w:val="20"/>
          <w:szCs w:val="20"/>
        </w:rPr>
        <w:t xml:space="preserve"> Administración de activos; planeación con el objetivo de que el ente los utilice de manera más efectiva: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Adicionalmente, se deben incluir las explicaciones de las principales variaciones en el activo, en cuadros comparativos como sigue: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Inversiones en valores: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Patrimonio de Organismos descentralizados de Control Presupuestario Indirecto:</w:t>
      </w: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Inversiones en empresas de participación mayoritaria: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Inversiones en empresas de participación minoritaria:</w:t>
      </w:r>
    </w:p>
    <w:p w:rsidR="001823AE"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r w:rsidRPr="005718AC">
        <w:rPr>
          <w:rFonts w:ascii="Arial" w:hAnsi="Arial" w:cs="Arial"/>
          <w:b/>
          <w:sz w:val="20"/>
          <w:szCs w:val="20"/>
        </w:rPr>
        <w:lastRenderedPageBreak/>
        <w:t>e)</w:t>
      </w:r>
      <w:r w:rsidRPr="005718AC">
        <w:rPr>
          <w:rFonts w:ascii="Arial" w:hAnsi="Arial" w:cs="Arial"/>
          <w:sz w:val="20"/>
          <w:szCs w:val="20"/>
        </w:rPr>
        <w:t xml:space="preserve"> Patrimonio de organismos descentralizados de control presupuestario directo, según corresponda:</w:t>
      </w:r>
    </w:p>
    <w:p w:rsidR="001823AE" w:rsidRPr="001823AE" w:rsidRDefault="0044233E" w:rsidP="0044233E">
      <w:pPr>
        <w:jc w:val="both"/>
        <w:rPr>
          <w:rFonts w:ascii="Arial" w:hAnsi="Arial" w:cs="Arial"/>
          <w:sz w:val="20"/>
          <w:szCs w:val="20"/>
        </w:rPr>
      </w:pPr>
      <w:r w:rsidRPr="005718AC">
        <w:rPr>
          <w:rFonts w:ascii="Arial" w:hAnsi="Arial" w:cs="Arial"/>
          <w:sz w:val="20"/>
          <w:szCs w:val="20"/>
        </w:rPr>
        <w:t>Tabla de bienes muebles e inmuebles comparativos</w:t>
      </w: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9. Fideicomisos, Mandatos y Análogos: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Por ramo administrativo que los reporta:</w:t>
      </w:r>
    </w:p>
    <w:p w:rsidR="00F94325" w:rsidRPr="005718AC" w:rsidRDefault="00F94325"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sz w:val="20"/>
          <w:szCs w:val="20"/>
        </w:rPr>
        <w:t>No aplica</w:t>
      </w:r>
    </w:p>
    <w:p w:rsidR="00F94325" w:rsidRPr="005718AC" w:rsidRDefault="00F94325"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Enlistar los de mayor monto de disponibilidad, relacionando aquéllos que conforman el 80% de las disponibilidades:</w:t>
      </w:r>
    </w:p>
    <w:p w:rsidR="00F94325" w:rsidRPr="005718AC" w:rsidRDefault="00F94325"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C15669" w:rsidRDefault="00C15669" w:rsidP="0044233E">
      <w:pPr>
        <w:jc w:val="both"/>
        <w:rPr>
          <w:rFonts w:ascii="Arial" w:hAnsi="Arial" w:cs="Arial"/>
          <w:b/>
          <w:sz w:val="20"/>
          <w:szCs w:val="20"/>
        </w:rPr>
      </w:pPr>
    </w:p>
    <w:p w:rsidR="001472BA" w:rsidRPr="005718AC" w:rsidRDefault="0044233E" w:rsidP="0044233E">
      <w:pPr>
        <w:jc w:val="both"/>
        <w:rPr>
          <w:rFonts w:ascii="Arial" w:hAnsi="Arial" w:cs="Arial"/>
          <w:b/>
          <w:sz w:val="20"/>
          <w:szCs w:val="20"/>
        </w:rPr>
      </w:pPr>
      <w:r w:rsidRPr="005718AC">
        <w:rPr>
          <w:rFonts w:ascii="Arial" w:hAnsi="Arial" w:cs="Arial"/>
          <w:b/>
          <w:sz w:val="20"/>
          <w:szCs w:val="20"/>
        </w:rPr>
        <w:t>10. Reporte de la Recaudación:</w:t>
      </w:r>
    </w:p>
    <w:p w:rsidR="00DE4BC5" w:rsidRDefault="0044233E" w:rsidP="0033212B">
      <w:pPr>
        <w:pStyle w:val="Prrafodelista"/>
        <w:numPr>
          <w:ilvl w:val="0"/>
          <w:numId w:val="2"/>
        </w:numPr>
        <w:jc w:val="both"/>
        <w:rPr>
          <w:rFonts w:ascii="Arial" w:hAnsi="Arial" w:cs="Arial"/>
          <w:sz w:val="20"/>
          <w:szCs w:val="20"/>
        </w:rPr>
      </w:pPr>
      <w:r w:rsidRPr="001472BA">
        <w:rPr>
          <w:rFonts w:ascii="Arial" w:hAnsi="Arial" w:cs="Arial"/>
          <w:sz w:val="20"/>
          <w:szCs w:val="20"/>
        </w:rPr>
        <w:t>Análisis del comportamiento de la recaudación correspondiente al ente público o cualquier tipo de ingreso, de forma separada los ingresos locales de los federales: ingresos cobrados derechos, productos y aprovechamientos</w:t>
      </w:r>
    </w:p>
    <w:p w:rsidR="00B15959" w:rsidRDefault="002D0880" w:rsidP="00DE4BC5">
      <w:pPr>
        <w:jc w:val="both"/>
        <w:rPr>
          <w:rFonts w:ascii="Arial" w:hAnsi="Arial" w:cs="Arial"/>
          <w:sz w:val="20"/>
          <w:szCs w:val="20"/>
        </w:rPr>
      </w:pPr>
      <w:r>
        <w:rPr>
          <w:noProof/>
        </w:rPr>
        <w:drawing>
          <wp:anchor distT="0" distB="0" distL="114300" distR="114300" simplePos="0" relativeHeight="251669504" behindDoc="0" locked="0" layoutInCell="1" allowOverlap="1" wp14:anchorId="55265547">
            <wp:simplePos x="0" y="0"/>
            <wp:positionH relativeFrom="margin">
              <wp:align>left</wp:align>
            </wp:positionH>
            <wp:positionV relativeFrom="paragraph">
              <wp:posOffset>79375</wp:posOffset>
            </wp:positionV>
            <wp:extent cx="5123815" cy="344805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23815" cy="3448050"/>
                    </a:xfrm>
                    <a:prstGeom prst="rect">
                      <a:avLst/>
                    </a:prstGeom>
                  </pic:spPr>
                </pic:pic>
              </a:graphicData>
            </a:graphic>
            <wp14:sizeRelH relativeFrom="margin">
              <wp14:pctWidth>0</wp14:pctWidth>
            </wp14:sizeRelH>
            <wp14:sizeRelV relativeFrom="margin">
              <wp14:pctHeight>0</wp14:pctHeight>
            </wp14:sizeRelV>
          </wp:anchor>
        </w:drawing>
      </w: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Default="002D0880" w:rsidP="00DE4BC5">
      <w:pPr>
        <w:jc w:val="both"/>
        <w:rPr>
          <w:rFonts w:ascii="Arial" w:hAnsi="Arial" w:cs="Arial"/>
          <w:sz w:val="20"/>
          <w:szCs w:val="20"/>
        </w:rPr>
      </w:pPr>
    </w:p>
    <w:p w:rsidR="002D0880" w:rsidRPr="00DE4BC5" w:rsidRDefault="002D0880" w:rsidP="00DE4BC5">
      <w:pPr>
        <w:jc w:val="both"/>
        <w:rPr>
          <w:rFonts w:ascii="Arial" w:hAnsi="Arial" w:cs="Arial"/>
          <w:sz w:val="20"/>
          <w:szCs w:val="20"/>
        </w:rPr>
      </w:pPr>
    </w:p>
    <w:p w:rsidR="00B15959" w:rsidRDefault="00B15959" w:rsidP="0044233E">
      <w:pPr>
        <w:jc w:val="both"/>
        <w:rPr>
          <w:rFonts w:ascii="Arial" w:hAnsi="Arial" w:cs="Arial"/>
          <w:sz w:val="20"/>
          <w:szCs w:val="20"/>
        </w:rPr>
      </w:pPr>
    </w:p>
    <w:p w:rsidR="00DE4BC5" w:rsidRDefault="00DE4BC5" w:rsidP="0044233E">
      <w:pPr>
        <w:jc w:val="both"/>
        <w:rPr>
          <w:rFonts w:ascii="Arial" w:hAnsi="Arial" w:cs="Arial"/>
          <w:b/>
          <w:sz w:val="20"/>
          <w:szCs w:val="20"/>
        </w:rPr>
      </w:pPr>
      <w:bookmarkStart w:id="1" w:name="_Hlk124934469"/>
    </w:p>
    <w:p w:rsidR="00DE4BC5" w:rsidRDefault="00DE4BC5"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lastRenderedPageBreak/>
        <w:t>b)</w:t>
      </w:r>
      <w:r w:rsidRPr="005718AC">
        <w:rPr>
          <w:rFonts w:ascii="Arial" w:hAnsi="Arial" w:cs="Arial"/>
          <w:sz w:val="20"/>
          <w:szCs w:val="20"/>
        </w:rPr>
        <w:t xml:space="preserve"> Proyección de la recaudación e ingresos en el mediano plazo: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Los ingresos se proyectan y calendarizan en relación a la matrícula que se piensa tener en los siguientes cuatrimestres y en base a eso se planea en que se utilizará.</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11. Información sobre la Deuda y el Reporte Analítico de la Deuda: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tiene pasivos contingentes que informar.</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12. Calificaciones otorgadas: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Informar, tanto del ente público como cualquier transacción realizada, que haya sido sujeta a una calificación crediticia: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sido sujeta a calificación crediticia.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13. Proceso de Mejora: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Principales Políticas de control interno: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Pr>
          <w:rFonts w:ascii="Arial" w:hAnsi="Arial" w:cs="Arial"/>
          <w:sz w:val="20"/>
          <w:szCs w:val="20"/>
        </w:rPr>
        <w:t xml:space="preserve">Respecto al control interno </w:t>
      </w:r>
      <w:r w:rsidRPr="005718AC">
        <w:rPr>
          <w:rFonts w:ascii="Arial" w:hAnsi="Arial" w:cs="Arial"/>
          <w:sz w:val="20"/>
          <w:szCs w:val="20"/>
        </w:rPr>
        <w:t>la Universidad se ha preocupado por mejorar su control interno por lo que ya contamos con la certificación Guanajuato Crece y Guanajuato Crece Com</w:t>
      </w:r>
      <w:r>
        <w:rPr>
          <w:rFonts w:ascii="Arial" w:hAnsi="Arial" w:cs="Arial"/>
          <w:sz w:val="20"/>
          <w:szCs w:val="20"/>
        </w:rPr>
        <w:t>petitivo, estamos certificado</w:t>
      </w:r>
      <w:r w:rsidRPr="005718AC">
        <w:rPr>
          <w:rFonts w:ascii="Arial" w:hAnsi="Arial" w:cs="Arial"/>
          <w:sz w:val="20"/>
          <w:szCs w:val="20"/>
        </w:rPr>
        <w:t>s con ISO 900</w:t>
      </w:r>
      <w:r>
        <w:rPr>
          <w:rFonts w:ascii="Arial" w:hAnsi="Arial" w:cs="Arial"/>
          <w:sz w:val="20"/>
          <w:szCs w:val="20"/>
        </w:rPr>
        <w:t>1:2008 e ISO 14001:2004.</w:t>
      </w:r>
    </w:p>
    <w:p w:rsidR="00F36DA1" w:rsidRDefault="00F36DA1"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Medidas de desempeño financiero, metas y alcance: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Este año se implementó el Sistema de Evaluación al Desempeño SED, en el cual se miden las metas y alcances así como los indicadores financieros sobre los cuales se evalúa el desempeño de la Universidad.</w:t>
      </w:r>
    </w:p>
    <w:p w:rsidR="0044233E" w:rsidRDefault="0044233E" w:rsidP="0044233E">
      <w:pPr>
        <w:jc w:val="both"/>
        <w:rPr>
          <w:rFonts w:ascii="Arial" w:hAnsi="Arial" w:cs="Arial"/>
          <w:b/>
          <w:sz w:val="20"/>
          <w:szCs w:val="20"/>
        </w:rPr>
      </w:pPr>
    </w:p>
    <w:p w:rsidR="003E4F43" w:rsidRDefault="003E4F43" w:rsidP="0044233E">
      <w:pPr>
        <w:jc w:val="both"/>
        <w:rPr>
          <w:rFonts w:ascii="Arial" w:hAnsi="Arial" w:cs="Arial"/>
          <w:b/>
          <w:sz w:val="20"/>
          <w:szCs w:val="20"/>
        </w:rPr>
      </w:pPr>
    </w:p>
    <w:bookmarkEnd w:id="1"/>
    <w:p w:rsidR="003E4F43" w:rsidRDefault="003E4F43"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bookmarkStart w:id="2" w:name="_Hlk124939660"/>
      <w:r w:rsidRPr="005718AC">
        <w:rPr>
          <w:rFonts w:ascii="Arial" w:hAnsi="Arial" w:cs="Arial"/>
          <w:b/>
          <w:sz w:val="20"/>
          <w:szCs w:val="20"/>
        </w:rPr>
        <w:t>14. Información por Segmentos: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no considera necesario revelar información financiera de manera segmentada debido a que realiza una sólo una actividad económica.</w:t>
      </w:r>
    </w:p>
    <w:p w:rsidR="0044233E" w:rsidRPr="005718AC" w:rsidRDefault="0044233E" w:rsidP="0044233E">
      <w:pPr>
        <w:jc w:val="both"/>
        <w:rPr>
          <w:rFonts w:ascii="Arial" w:hAnsi="Arial" w:cs="Arial"/>
          <w:sz w:val="20"/>
          <w:szCs w:val="20"/>
        </w:rPr>
      </w:pPr>
    </w:p>
    <w:p w:rsidR="00C15669" w:rsidRDefault="00C15669"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15. Eventos Posteriores al Cierre: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se han tenido hechos ocurridos con posterioridad a la emisión de los Estados Financieros que afecten económicamente a la Universidad.</w:t>
      </w:r>
    </w:p>
    <w:p w:rsidR="0044233E" w:rsidRPr="005718AC" w:rsidRDefault="0044233E" w:rsidP="0044233E">
      <w:pPr>
        <w:jc w:val="both"/>
        <w:rPr>
          <w:rFonts w:ascii="Arial" w:hAnsi="Arial" w:cs="Arial"/>
          <w:sz w:val="20"/>
          <w:szCs w:val="20"/>
        </w:rPr>
      </w:pPr>
    </w:p>
    <w:p w:rsidR="00C15669" w:rsidRDefault="00C15669"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lastRenderedPageBreak/>
        <w:t>16. Partes Relacionadas: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Se debe establecer por escrito que no existen partes relacionadas que pudieran ejercer influencia significativa sobre la toma de decisiones financieras y operativas: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no tiene partes relacionadas que pudieran ejercer influencia significativa sobre la toma de decisiones financieras y operativas.</w:t>
      </w:r>
    </w:p>
    <w:p w:rsidR="0044233E" w:rsidRDefault="0044233E" w:rsidP="0044233E">
      <w:pPr>
        <w:jc w:val="both"/>
        <w:rPr>
          <w:rFonts w:ascii="Arial" w:hAnsi="Arial" w:cs="Arial"/>
          <w:sz w:val="20"/>
          <w:szCs w:val="20"/>
        </w:rPr>
      </w:pPr>
    </w:p>
    <w:p w:rsidR="00987EEE" w:rsidRDefault="00987EEE" w:rsidP="0044233E">
      <w:pPr>
        <w:jc w:val="both"/>
        <w:rPr>
          <w:rFonts w:ascii="Arial" w:hAnsi="Arial" w:cs="Arial"/>
          <w:sz w:val="20"/>
          <w:szCs w:val="20"/>
        </w:rPr>
      </w:pPr>
    </w:p>
    <w:p w:rsidR="00987EEE" w:rsidRPr="00DE4BC5" w:rsidRDefault="00987EEE" w:rsidP="0044233E">
      <w:pPr>
        <w:jc w:val="both"/>
        <w:rPr>
          <w:rFonts w:ascii="Arial" w:hAnsi="Arial" w:cs="Arial"/>
          <w:b/>
          <w:sz w:val="20"/>
          <w:szCs w:val="20"/>
        </w:rPr>
      </w:pPr>
      <w:r w:rsidRPr="00DE4BC5">
        <w:rPr>
          <w:rFonts w:ascii="Arial" w:hAnsi="Arial" w:cs="Arial"/>
          <w:b/>
          <w:sz w:val="20"/>
          <w:szCs w:val="20"/>
        </w:rPr>
        <w:t>17. Responsabilidad Sobre la Presentación Razonable de la Información Contable</w:t>
      </w:r>
      <w:r w:rsidR="00DE4BC5">
        <w:rPr>
          <w:rFonts w:ascii="Arial" w:hAnsi="Arial" w:cs="Arial"/>
          <w:b/>
          <w:sz w:val="20"/>
          <w:szCs w:val="20"/>
        </w:rPr>
        <w:t>:</w:t>
      </w:r>
    </w:p>
    <w:p w:rsidR="00987EEE" w:rsidRDefault="00987EEE" w:rsidP="0044233E">
      <w:pPr>
        <w:jc w:val="both"/>
        <w:rPr>
          <w:rFonts w:ascii="Arial" w:hAnsi="Arial" w:cs="Arial"/>
          <w:sz w:val="20"/>
          <w:szCs w:val="20"/>
        </w:rPr>
      </w:pPr>
      <w:r>
        <w:rPr>
          <w:rFonts w:ascii="Arial" w:hAnsi="Arial" w:cs="Arial"/>
          <w:sz w:val="20"/>
          <w:szCs w:val="20"/>
        </w:rPr>
        <w:t>La Información Contable está firmada en cada pagina de la misma y se incluye al final la siguiente leyenda:</w:t>
      </w:r>
    </w:p>
    <w:p w:rsidR="00987EEE" w:rsidRDefault="00987EE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Bajo protesta de decir verdad declaramos que los Estados Financieros y sus Notas son razonablemente correctos y responsabilidad del emisor. </w:t>
      </w:r>
    </w:p>
    <w:p w:rsidR="0044233E" w:rsidRDefault="0044233E" w:rsidP="0044233E">
      <w:pPr>
        <w:jc w:val="both"/>
        <w:rPr>
          <w:noProof/>
          <w:lang w:eastAsia="es-MX"/>
        </w:rPr>
      </w:pPr>
    </w:p>
    <w:p w:rsidR="0044233E" w:rsidRDefault="0044233E" w:rsidP="0044233E">
      <w:pPr>
        <w:jc w:val="both"/>
        <w:rPr>
          <w:noProof/>
          <w:lang w:eastAsia="es-MX"/>
        </w:rPr>
      </w:pPr>
    </w:p>
    <w:p w:rsidR="0044233E" w:rsidRDefault="0044233E" w:rsidP="0044233E">
      <w:pPr>
        <w:jc w:val="both"/>
      </w:pPr>
    </w:p>
    <w:p w:rsidR="0044233E" w:rsidRDefault="0044233E" w:rsidP="0044233E">
      <w:pPr>
        <w:jc w:val="both"/>
      </w:pPr>
    </w:p>
    <w:p w:rsidR="0044233E" w:rsidRDefault="0044233E" w:rsidP="0044233E">
      <w:pPr>
        <w:jc w:val="both"/>
      </w:pPr>
    </w:p>
    <w:p w:rsidR="0044233E" w:rsidRDefault="0044233E" w:rsidP="0044233E">
      <w:pPr>
        <w:jc w:val="both"/>
      </w:pPr>
    </w:p>
    <w:p w:rsidR="0044233E" w:rsidRPr="00A72248" w:rsidRDefault="0044233E" w:rsidP="0044233E">
      <w:pPr>
        <w:tabs>
          <w:tab w:val="left" w:pos="7320"/>
        </w:tabs>
        <w:rPr>
          <w:rFonts w:ascii="Arial" w:hAnsi="Arial" w:cs="Arial"/>
          <w:sz w:val="20"/>
          <w:szCs w:val="20"/>
        </w:rPr>
      </w:pPr>
    </w:p>
    <w:p w:rsidR="0044233E" w:rsidRDefault="0044233E" w:rsidP="0044233E">
      <w:pPr>
        <w:tabs>
          <w:tab w:val="left" w:pos="7320"/>
        </w:tabs>
        <w:rPr>
          <w:rFonts w:ascii="Arial" w:hAnsi="Arial" w:cs="Arial"/>
          <w:sz w:val="20"/>
          <w:szCs w:val="20"/>
        </w:rPr>
      </w:pPr>
    </w:p>
    <w:p w:rsidR="00F7066A" w:rsidRDefault="00574B30">
      <w:r>
        <w:rPr>
          <w:noProof/>
        </w:rPr>
        <w:drawing>
          <wp:anchor distT="0" distB="0" distL="114300" distR="114300" simplePos="0" relativeHeight="251668480" behindDoc="0" locked="0" layoutInCell="1" allowOverlap="1" wp14:anchorId="36ED74BF">
            <wp:simplePos x="0" y="0"/>
            <wp:positionH relativeFrom="margin">
              <wp:align>right</wp:align>
            </wp:positionH>
            <wp:positionV relativeFrom="paragraph">
              <wp:posOffset>884934</wp:posOffset>
            </wp:positionV>
            <wp:extent cx="8257540" cy="387350"/>
            <wp:effectExtent l="0" t="0" r="0" b="0"/>
            <wp:wrapSquare wrapText="bothSides"/>
            <wp:docPr id="3" name="Imagen 4">
              <a:extLst xmlns:a="http://schemas.openxmlformats.org/drawingml/2006/main">
                <a:ext uri="{FF2B5EF4-FFF2-40B4-BE49-F238E27FC236}">
                  <a16:creationId xmlns:a16="http://schemas.microsoft.com/office/drawing/2014/main" id="{37BD24B0-E993-413D-98EC-8B5A66311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7BD24B0-E993-413D-98EC-8B5A6631174C}"/>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257540" cy="387350"/>
                    </a:xfrm>
                    <a:prstGeom prst="rect">
                      <a:avLst/>
                    </a:prstGeom>
                  </pic:spPr>
                </pic:pic>
              </a:graphicData>
            </a:graphic>
          </wp:anchor>
        </w:drawing>
      </w:r>
      <w:bookmarkEnd w:id="2"/>
    </w:p>
    <w:sectPr w:rsidR="00F7066A" w:rsidSect="001B7175">
      <w:headerReference w:type="default" r:id="rId11"/>
      <w:footerReference w:type="default" r:id="rId12"/>
      <w:pgSz w:w="15840" w:h="12240" w:orient="landscape"/>
      <w:pgMar w:top="1560" w:right="1418" w:bottom="127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AC1" w:rsidRDefault="006F1AC1" w:rsidP="00FA71CD">
      <w:r>
        <w:separator/>
      </w:r>
    </w:p>
  </w:endnote>
  <w:endnote w:type="continuationSeparator" w:id="0">
    <w:p w:rsidR="006F1AC1" w:rsidRDefault="006F1AC1" w:rsidP="00FA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874851"/>
      <w:docPartObj>
        <w:docPartGallery w:val="Page Numbers (Bottom of Page)"/>
        <w:docPartUnique/>
      </w:docPartObj>
    </w:sdtPr>
    <w:sdtEndPr/>
    <w:sdtContent>
      <w:p w:rsidR="001B7175" w:rsidRDefault="001B7175">
        <w:pPr>
          <w:pStyle w:val="Piedepgina"/>
          <w:jc w:val="right"/>
        </w:pPr>
        <w:r>
          <w:fldChar w:fldCharType="begin"/>
        </w:r>
        <w:r>
          <w:instrText>PAGE   \* MERGEFORMAT</w:instrText>
        </w:r>
        <w:r>
          <w:fldChar w:fldCharType="separate"/>
        </w:r>
        <w:r>
          <w:t>2</w:t>
        </w:r>
        <w:r>
          <w:fldChar w:fldCharType="end"/>
        </w:r>
      </w:p>
    </w:sdtContent>
  </w:sdt>
  <w:p w:rsidR="001B7175" w:rsidRDefault="001B71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AC1" w:rsidRDefault="006F1AC1" w:rsidP="00FA71CD">
      <w:r>
        <w:separator/>
      </w:r>
    </w:p>
  </w:footnote>
  <w:footnote w:type="continuationSeparator" w:id="0">
    <w:p w:rsidR="006F1AC1" w:rsidRDefault="006F1AC1" w:rsidP="00FA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175" w:rsidRDefault="001B7175" w:rsidP="001B7175">
    <w:pPr>
      <w:pStyle w:val="Encabezado"/>
      <w:jc w:val="center"/>
    </w:pPr>
    <w:r>
      <w:t>UNIVERSIDAD POLITÉCNICA DEL BICENTENARIO</w:t>
    </w:r>
  </w:p>
  <w:p w:rsidR="001B7175" w:rsidRDefault="001B7175" w:rsidP="001B7175">
    <w:pPr>
      <w:pStyle w:val="Encabezado"/>
      <w:jc w:val="center"/>
    </w:pPr>
    <w:r>
      <w:t>DEL 1 DE ENERO AL 3</w:t>
    </w:r>
    <w:r w:rsidR="00016460">
      <w:t>1</w:t>
    </w:r>
    <w:r>
      <w:t xml:space="preserve"> DE </w:t>
    </w:r>
    <w:r w:rsidR="00016460">
      <w:t>DIC</w:t>
    </w:r>
    <w:r w:rsidR="00C0327C">
      <w:t>IEMBRE</w:t>
    </w:r>
    <w:r>
      <w:t xml:space="preserve"> DE 2023</w:t>
    </w:r>
  </w:p>
  <w:p w:rsidR="001B7175" w:rsidRDefault="001B71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00059"/>
    <w:multiLevelType w:val="hybridMultilevel"/>
    <w:tmpl w:val="B9AA4DCE"/>
    <w:lvl w:ilvl="0" w:tplc="14265D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DA6529"/>
    <w:multiLevelType w:val="hybridMultilevel"/>
    <w:tmpl w:val="06924F26"/>
    <w:lvl w:ilvl="0" w:tplc="67A456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E"/>
    <w:rsid w:val="00016460"/>
    <w:rsid w:val="000479E7"/>
    <w:rsid w:val="000A4DD8"/>
    <w:rsid w:val="000F1B16"/>
    <w:rsid w:val="00131E80"/>
    <w:rsid w:val="00137D03"/>
    <w:rsid w:val="001472BA"/>
    <w:rsid w:val="001823AE"/>
    <w:rsid w:val="001B7175"/>
    <w:rsid w:val="002356D1"/>
    <w:rsid w:val="00256127"/>
    <w:rsid w:val="002D0880"/>
    <w:rsid w:val="00366A63"/>
    <w:rsid w:val="003E1866"/>
    <w:rsid w:val="003E4F43"/>
    <w:rsid w:val="0044233E"/>
    <w:rsid w:val="00454719"/>
    <w:rsid w:val="004726CD"/>
    <w:rsid w:val="00491D0A"/>
    <w:rsid w:val="00515F6C"/>
    <w:rsid w:val="00574B30"/>
    <w:rsid w:val="005F5A8B"/>
    <w:rsid w:val="006017B9"/>
    <w:rsid w:val="00616DB7"/>
    <w:rsid w:val="00686EFE"/>
    <w:rsid w:val="00694208"/>
    <w:rsid w:val="006F1AC1"/>
    <w:rsid w:val="007150A9"/>
    <w:rsid w:val="00732493"/>
    <w:rsid w:val="007B3313"/>
    <w:rsid w:val="007F4704"/>
    <w:rsid w:val="00853C1E"/>
    <w:rsid w:val="00853CDB"/>
    <w:rsid w:val="008D0760"/>
    <w:rsid w:val="008D4166"/>
    <w:rsid w:val="00930411"/>
    <w:rsid w:val="009423BE"/>
    <w:rsid w:val="00987EEE"/>
    <w:rsid w:val="00992D06"/>
    <w:rsid w:val="009C5877"/>
    <w:rsid w:val="00A520B7"/>
    <w:rsid w:val="00A72EEB"/>
    <w:rsid w:val="00AA2007"/>
    <w:rsid w:val="00AE68A9"/>
    <w:rsid w:val="00B15959"/>
    <w:rsid w:val="00BA7BA0"/>
    <w:rsid w:val="00BD5066"/>
    <w:rsid w:val="00C0327C"/>
    <w:rsid w:val="00C15669"/>
    <w:rsid w:val="00C742EE"/>
    <w:rsid w:val="00CA64BC"/>
    <w:rsid w:val="00CE3C06"/>
    <w:rsid w:val="00DA4206"/>
    <w:rsid w:val="00DE4BC5"/>
    <w:rsid w:val="00E1211D"/>
    <w:rsid w:val="00E62A78"/>
    <w:rsid w:val="00E72464"/>
    <w:rsid w:val="00F24BCD"/>
    <w:rsid w:val="00F36DA1"/>
    <w:rsid w:val="00F45B5F"/>
    <w:rsid w:val="00F7066A"/>
    <w:rsid w:val="00F92B21"/>
    <w:rsid w:val="00F94325"/>
    <w:rsid w:val="00FA71CD"/>
    <w:rsid w:val="00FF28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E6A85-8DC5-4B83-9B22-26FB0488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44233E"/>
    <w:pPr>
      <w:spacing w:after="101" w:line="216" w:lineRule="exact"/>
      <w:ind w:firstLine="288"/>
      <w:jc w:val="both"/>
    </w:pPr>
    <w:rPr>
      <w:rFonts w:ascii="Arial" w:hAnsi="Arial" w:cs="Arial"/>
      <w:sz w:val="18"/>
      <w:szCs w:val="20"/>
    </w:rPr>
  </w:style>
  <w:style w:type="character" w:customStyle="1" w:styleId="TextoCar">
    <w:name w:val="Texto Car"/>
    <w:link w:val="Texto"/>
    <w:locked/>
    <w:rsid w:val="0044233E"/>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F36D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6DA1"/>
    <w:rPr>
      <w:rFonts w:ascii="Segoe UI" w:eastAsia="Times New Roman" w:hAnsi="Segoe UI" w:cs="Segoe UI"/>
      <w:sz w:val="18"/>
      <w:szCs w:val="18"/>
      <w:lang w:val="es-ES" w:eastAsia="es-ES"/>
    </w:rPr>
  </w:style>
  <w:style w:type="paragraph" w:styleId="Prrafodelista">
    <w:name w:val="List Paragraph"/>
    <w:basedOn w:val="Normal"/>
    <w:uiPriority w:val="34"/>
    <w:qFormat/>
    <w:rsid w:val="00F94325"/>
    <w:pPr>
      <w:ind w:left="720"/>
      <w:contextualSpacing/>
    </w:pPr>
  </w:style>
  <w:style w:type="paragraph" w:styleId="Encabezado">
    <w:name w:val="header"/>
    <w:basedOn w:val="Normal"/>
    <w:link w:val="EncabezadoCar"/>
    <w:uiPriority w:val="99"/>
    <w:unhideWhenUsed/>
    <w:rsid w:val="00FA71CD"/>
    <w:pPr>
      <w:tabs>
        <w:tab w:val="center" w:pos="4419"/>
        <w:tab w:val="right" w:pos="8838"/>
      </w:tabs>
    </w:pPr>
  </w:style>
  <w:style w:type="character" w:customStyle="1" w:styleId="EncabezadoCar">
    <w:name w:val="Encabezado Car"/>
    <w:basedOn w:val="Fuentedeprrafopredeter"/>
    <w:link w:val="Encabezado"/>
    <w:uiPriority w:val="99"/>
    <w:rsid w:val="00FA71C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71CD"/>
    <w:pPr>
      <w:tabs>
        <w:tab w:val="center" w:pos="4419"/>
        <w:tab w:val="right" w:pos="8838"/>
      </w:tabs>
    </w:pPr>
  </w:style>
  <w:style w:type="character" w:customStyle="1" w:styleId="PiedepginaCar">
    <w:name w:val="Pie de página Car"/>
    <w:basedOn w:val="Fuentedeprrafopredeter"/>
    <w:link w:val="Piedepgina"/>
    <w:uiPriority w:val="99"/>
    <w:rsid w:val="00FA71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68530">
      <w:bodyDiv w:val="1"/>
      <w:marLeft w:val="0"/>
      <w:marRight w:val="0"/>
      <w:marTop w:val="0"/>
      <w:marBottom w:val="0"/>
      <w:divBdr>
        <w:top w:val="none" w:sz="0" w:space="0" w:color="auto"/>
        <w:left w:val="none" w:sz="0" w:space="0" w:color="auto"/>
        <w:bottom w:val="none" w:sz="0" w:space="0" w:color="auto"/>
        <w:right w:val="none" w:sz="0" w:space="0" w:color="auto"/>
      </w:divBdr>
    </w:div>
    <w:div w:id="964626749">
      <w:bodyDiv w:val="1"/>
      <w:marLeft w:val="0"/>
      <w:marRight w:val="0"/>
      <w:marTop w:val="0"/>
      <w:marBottom w:val="0"/>
      <w:divBdr>
        <w:top w:val="none" w:sz="0" w:space="0" w:color="auto"/>
        <w:left w:val="none" w:sz="0" w:space="0" w:color="auto"/>
        <w:bottom w:val="none" w:sz="0" w:space="0" w:color="auto"/>
        <w:right w:val="none" w:sz="0" w:space="0" w:color="auto"/>
      </w:divBdr>
    </w:div>
    <w:div w:id="15328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D3CD-2CA3-4DFE-B32E-0D098725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2438</Words>
  <Characters>13413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Calderon Nava</dc:creator>
  <cp:keywords/>
  <dc:description/>
  <cp:lastModifiedBy>Jefe de Departamento de Recursos Financieros</cp:lastModifiedBy>
  <cp:revision>9</cp:revision>
  <cp:lastPrinted>2023-10-23T20:22:00Z</cp:lastPrinted>
  <dcterms:created xsi:type="dcterms:W3CDTF">2023-07-21T18:58:00Z</dcterms:created>
  <dcterms:modified xsi:type="dcterms:W3CDTF">2024-02-09T17:08:00Z</dcterms:modified>
</cp:coreProperties>
</file>