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E76C98" w:rsidRDefault="001E17FB">
      <w:pPr>
        <w:tabs>
          <w:tab w:val="left" w:pos="1327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ANEXO 1 ACCIONES PARA LA PROTECCIÓN DE PERSONAS CON DISCAPACIDAD EN LOS CENTROS DE TRABAJO </w:t>
      </w:r>
    </w:p>
    <w:p w14:paraId="00000002" w14:textId="77777777" w:rsidR="00E76C98" w:rsidRDefault="00E76C98">
      <w:pPr>
        <w:tabs>
          <w:tab w:val="left" w:pos="1327"/>
        </w:tabs>
        <w:rPr>
          <w:rFonts w:ascii="Century Gothic" w:eastAsia="Century Gothic" w:hAnsi="Century Gothic" w:cs="Century Gothic"/>
          <w:b/>
        </w:rPr>
      </w:pPr>
    </w:p>
    <w:p w14:paraId="00000003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OBJETIVO </w:t>
      </w:r>
    </w:p>
    <w:p w14:paraId="00000004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Establecer las acciones de prevención y condiciones de seguridad en materia de protección civil que se requieren para la atención y el auxilio de las personas con discapacidad en situación de emergencia o desastre.</w:t>
      </w:r>
    </w:p>
    <w:p w14:paraId="00000005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ALCANCE </w:t>
      </w:r>
    </w:p>
    <w:p w14:paraId="00000006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Es de observancia para todos los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centros de trabajo en los cuales laboren, personas con discapacidad PCD, y que deban cumplir con lo establecido en las leyes, reglamentos y normatividad en materia de protección civil. </w:t>
      </w:r>
    </w:p>
    <w:p w14:paraId="00000007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JUSTIFICACIÓN</w:t>
      </w:r>
    </w:p>
    <w:p w14:paraId="00000008" w14:textId="77777777" w:rsidR="00E76C98" w:rsidRDefault="001E17FB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De conformidad con el Articulo 131 Obligaciones de los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patrones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fracc.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XVI Bis.  Es obligación de las y los empleadores contar, en los centros de trabajo que tengan más de 50 trabajadores, con instalaciones acciones y mecanismos adecuados para el acceso, permanencia y salvaguarda de las personas con discapacid</w:t>
      </w:r>
      <w:r>
        <w:rPr>
          <w:rFonts w:ascii="Century Gothic" w:eastAsia="Century Gothic" w:hAnsi="Century Gothic" w:cs="Century Gothic"/>
          <w:sz w:val="20"/>
          <w:szCs w:val="20"/>
        </w:rPr>
        <w:t>ad.</w:t>
      </w:r>
    </w:p>
    <w:p w14:paraId="00000009" w14:textId="77777777" w:rsidR="00E76C98" w:rsidRDefault="001E17FB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El centro de trabajo debe contar con una brigada de protección civil capacitado para la atención y salvaguarda de personas con discapacidad dentro del centro de trabajo. </w:t>
      </w:r>
    </w:p>
    <w:p w14:paraId="0000000A" w14:textId="77777777" w:rsidR="00E76C98" w:rsidRDefault="00E76C98">
      <w:pPr>
        <w:spacing w:after="0" w:line="240" w:lineRule="auto"/>
        <w:rPr>
          <w:rFonts w:ascii="Arial" w:eastAsia="Arial" w:hAnsi="Arial" w:cs="Arial"/>
          <w:sz w:val="23"/>
          <w:szCs w:val="23"/>
        </w:rPr>
      </w:pPr>
    </w:p>
    <w:p w14:paraId="0000000B" w14:textId="77777777" w:rsidR="00E76C98" w:rsidRDefault="001E17FB">
      <w:pPr>
        <w:tabs>
          <w:tab w:val="left" w:pos="1327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DEFINICIONES </w:t>
      </w:r>
    </w:p>
    <w:p w14:paraId="0000000C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Accesibilidad: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Medidas pertinentes para asegurar el acceso de las </w:t>
      </w:r>
      <w:r>
        <w:rPr>
          <w:rFonts w:ascii="Century Gothic" w:eastAsia="Century Gothic" w:hAnsi="Century Gothic" w:cs="Century Gothic"/>
          <w:sz w:val="20"/>
          <w:szCs w:val="20"/>
        </w:rPr>
        <w:t>personas con discapacidad, en igualdad de condiciones con las demás, al entorno físico, el transporte, la información y las comunicaciones, incluidos los sistemas y las tecnologías de la información y las comunicaciones, y a otros servicios e instalaciones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abiertos al público o de uso público, tanto en zonas urbanas como rurales. </w:t>
      </w:r>
    </w:p>
    <w:p w14:paraId="0000000D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Discapacidad: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Deficiencias físicas, mentales, intelectuales o sensoriales.</w:t>
      </w:r>
    </w:p>
    <w:p w14:paraId="0000000E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Deficiencia: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Problemas en las funciones o estructuras corporales, tales como una desviación significativ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 o una pérdida. </w:t>
      </w:r>
    </w:p>
    <w:p w14:paraId="0000000F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Persona con discapacidad (PCD):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Toda persona que por razón congénita o adquirida presenta una o más deficiencias de carácter físico, mental, intelectual o sensorial, ya sea permanente o temporal, y que al interactuar con las barreras que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le impone el entorno social pueda impedir su inclusión plena y efectiva, en igualdad de condiciones con los demás. </w:t>
      </w:r>
    </w:p>
    <w:p w14:paraId="00000010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Formatos accesibles (alternativos):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Consiste en presentar la información en diferentes medios adicionales al escrito, para que pueda ser ent</w:t>
      </w:r>
      <w:r>
        <w:rPr>
          <w:rFonts w:ascii="Century Gothic" w:eastAsia="Century Gothic" w:hAnsi="Century Gothic" w:cs="Century Gothic"/>
          <w:sz w:val="20"/>
          <w:szCs w:val="20"/>
        </w:rPr>
        <w:t>endida por personas con cualquier tipo de discapacidad. Estos pueden incluir, braille, macro tipos, grabaciones de audio, interpretación en lengua de señas y formatos electrónicos, entre otros, que cumplan con estándares internacionales de accesibilidad.</w:t>
      </w:r>
    </w:p>
    <w:p w14:paraId="00000011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>P</w:t>
      </w:r>
      <w:r>
        <w:rPr>
          <w:rFonts w:ascii="Century Gothic" w:eastAsia="Century Gothic" w:hAnsi="Century Gothic" w:cs="Century Gothic"/>
          <w:b/>
          <w:sz w:val="20"/>
          <w:szCs w:val="20"/>
        </w:rPr>
        <w:t>revención: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Conjunto de acciones y mecanismos implementados con antelación a la ocurrencia de los agentes perturbadores, con la finalidad de conocer los peligros o los riesgos, identificarlos, eliminarlos o reducirlos; evitar o mitigar su impacto destructiv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o sobre las personas, bienes, infraestructura, así como anticiparse a los procesos sociales de construcción de </w:t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los mismos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0000012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sz w:val="20"/>
          <w:szCs w:val="20"/>
        </w:rPr>
        <w:t>Comunicacion</w:t>
      </w:r>
      <w:proofErr w:type="spellEnd"/>
      <w:r>
        <w:rPr>
          <w:rFonts w:ascii="Century Gothic" w:eastAsia="Century Gothic" w:hAnsi="Century Gothic" w:cs="Century Gothic"/>
          <w:b/>
          <w:sz w:val="20"/>
          <w:szCs w:val="20"/>
        </w:rPr>
        <w:t>: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Lenguaje escrito, oral y la lengua de señas mexicana, la visualización de textos, sistema de escritura braille, la comu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nicación táctil, los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macrotipos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, los dispositivos multimedia escritos o auditivos de fácil acceso, el lenguaje sencillo, los medios de voz digitalizada y otros modos, medios, sistemas y formatos aumentativos o alternativos de comunicación, incluida la tecn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ología de la información y las comunicaciones de fácil acceso. </w:t>
      </w:r>
    </w:p>
    <w:p w14:paraId="00000013" w14:textId="77777777" w:rsidR="00E76C98" w:rsidRDefault="001E17FB">
      <w:pPr>
        <w:tabs>
          <w:tab w:val="left" w:pos="1327"/>
        </w:tabs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OBLIGACIONES DE LA O EL EMPLEADOR CON RESPECTO A PROTECCIÓN DE PCD</w:t>
      </w:r>
    </w:p>
    <w:p w14:paraId="00000014" w14:textId="77777777" w:rsidR="00E76C98" w:rsidRDefault="001E17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Contar con una brigada de protección civil capacitada para la atención de PCD. </w:t>
      </w:r>
    </w:p>
    <w:p w14:paraId="00000015" w14:textId="77777777" w:rsidR="00E76C98" w:rsidRDefault="001E17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Disponer de las instalaciones que permitan la accesibilidad de trabajadores con discapacidad al centro de trabajo, o realizar, en su caso, los ajustes, a fin de </w:t>
      </w:r>
    </w:p>
    <w:p w14:paraId="00000016" w14:textId="77777777" w:rsidR="00E76C98" w:rsidRDefault="001E17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permitir el libre y seguro desplazamiento para prevenir riesgos a los trabajadores con discapa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cidad.</w:t>
      </w:r>
    </w:p>
    <w:p w14:paraId="00000017" w14:textId="77777777" w:rsidR="00E76C98" w:rsidRDefault="001E17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Identificar los riesgos específicos asociados con la discapacidad de los trabajadores;</w:t>
      </w:r>
    </w:p>
    <w:p w14:paraId="00000018" w14:textId="77777777" w:rsidR="00E76C98" w:rsidRDefault="001E17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Implementar medidas para la prevención de los riesgos detectados, así como la evaluación de su efectividad.</w:t>
      </w:r>
    </w:p>
    <w:p w14:paraId="00000019" w14:textId="77777777" w:rsidR="00E76C98" w:rsidRDefault="001E17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su caso, las medidas de control adicionales que el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patrón determine implementar para minimizar los riesgos a los que estuvieran expuestas personas con discapacidad dentro del centro de trabajo.</w:t>
      </w:r>
    </w:p>
    <w:p w14:paraId="0000001A" w14:textId="77777777" w:rsidR="00E76C98" w:rsidRDefault="001E17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Instalar en las áreas del centro de trabajo que lo requieran, las señalizaciones para el desplazamiento, la estad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ía y las acciones a seguir en caso de emergencia, según corresponda, de acuerdo con la discapacidad de los trabajadores, conforme a lo señalado en la NOM 026 STPS 2008.</w:t>
      </w:r>
    </w:p>
    <w:p w14:paraId="0000001B" w14:textId="77777777" w:rsidR="00E76C98" w:rsidRDefault="001E17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Contar con un plan de atención a emergencias, de acuerdo con lo previsto por el Plan de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atención de emergencias. </w:t>
      </w:r>
    </w:p>
    <w:p w14:paraId="0000001C" w14:textId="77777777" w:rsidR="00E76C98" w:rsidRDefault="001E17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Informar a los trabajadores con discapacidad sobre los riesgos, las medidas </w:t>
      </w:r>
      <w:proofErr w:type="gramStart"/>
      <w:r>
        <w:rPr>
          <w:rFonts w:ascii="Century Gothic" w:eastAsia="Century Gothic" w:hAnsi="Century Gothic" w:cs="Century Gothic"/>
          <w:color w:val="000000"/>
          <w:sz w:val="20"/>
          <w:szCs w:val="20"/>
        </w:rPr>
        <w:t>de  seguridad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 las acciones a seguir en caso de emergencia.</w:t>
      </w:r>
    </w:p>
    <w:p w14:paraId="0000001D" w14:textId="77777777" w:rsidR="00E76C98" w:rsidRDefault="001E17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Capacitar a los trabajadores con discapacidad sobre el protocolo o plan de actuación en caso de emergencia</w:t>
      </w:r>
    </w:p>
    <w:p w14:paraId="0000001E" w14:textId="77777777" w:rsidR="00E76C98" w:rsidRDefault="00E76C98">
      <w:pPr>
        <w:spacing w:after="0" w:line="240" w:lineRule="auto"/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00001F" w14:textId="77777777" w:rsidR="00E76C98" w:rsidRDefault="00E76C98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000020" w14:textId="77777777" w:rsidR="00E76C98" w:rsidRDefault="001E17FB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PLAN DE AT</w:t>
      </w:r>
      <w:r>
        <w:rPr>
          <w:rFonts w:ascii="Century Gothic" w:eastAsia="Century Gothic" w:hAnsi="Century Gothic" w:cs="Century Gothic"/>
          <w:b/>
          <w:sz w:val="20"/>
          <w:szCs w:val="20"/>
        </w:rPr>
        <w:t>ENCIÓN A EMERGENCIAS</w:t>
      </w:r>
    </w:p>
    <w:p w14:paraId="00000021" w14:textId="77777777" w:rsidR="00E76C98" w:rsidRDefault="00E76C98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0000022" w14:textId="77777777" w:rsidR="00E76C98" w:rsidRDefault="001E17FB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El plan de atención a emergencias deberá considerar, según aplique, lo siguiente:</w:t>
      </w:r>
    </w:p>
    <w:p w14:paraId="00000023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La identificación, ubicación y señalización de rutas de evacuación, salidas y escaleras de emergencia, zonas de menor riesgo y puntos de reunión, entre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otros;</w:t>
      </w:r>
    </w:p>
    <w:p w14:paraId="00000024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El procedimiento de alertamiento implantado en el centro de trabajo, que deberá estar acorde con la discapacidad del trabajador, en caso de ocurrir una emergencia. Tales como: el uso de señales estroboscópicas (que parpadean), luminosas y otros disp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ositivos de alerta visuales o vibratorios para complementar las alarmas sonoras, entre otras;</w:t>
      </w:r>
    </w:p>
    <w:p w14:paraId="00000025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El procedimiento o instrucciones para actuar en caso de emergencias, de acuerdo con las diferentes discapacidades;</w:t>
      </w:r>
    </w:p>
    <w:p w14:paraId="00000026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lastRenderedPageBreak/>
        <w:t>Los procedimientos o instrucciones para la oper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ación del equipo de evacuación necesario, para movilizar a los trabajadores con discapacidad, en específico de miembros inferiores;</w:t>
      </w:r>
    </w:p>
    <w:p w14:paraId="00000027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El procedimiento o instrucciones para la evacuación de los trabajadores con discapacidad, considerando al trabajador o briga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dista designado para avisar y ayudar a los trabajadores con discapacidad durante la evacuación;</w:t>
      </w:r>
    </w:p>
    <w:p w14:paraId="00000028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Los medios de difusión, sobre el contenido del plan de atención a emergencias y de la manera en que todos los trabajadores participarán en su ejecución;</w:t>
      </w:r>
    </w:p>
    <w:p w14:paraId="00000029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dispositivos o ayudas que se puedan utilizar, para la evacuación de los trabajadores con discapacidad, y </w:t>
      </w:r>
    </w:p>
    <w:p w14:paraId="0000002A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La pertinencia de contar con uno o más trabajadores para que auxilien al trabajador con discapacidad durante cualquier evento.</w:t>
      </w:r>
    </w:p>
    <w:p w14:paraId="0000002B" w14:textId="77777777" w:rsidR="00E76C98" w:rsidRDefault="001E17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El plan de atención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 emergencias deberá ponerse en práctica para que todos los trabajadores lo entiendan y sepan cómo actuar.</w:t>
      </w:r>
    </w:p>
    <w:p w14:paraId="0000002C" w14:textId="77777777" w:rsidR="00E76C98" w:rsidRDefault="00E76C98">
      <w:pPr>
        <w:tabs>
          <w:tab w:val="left" w:pos="1327"/>
        </w:tabs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</w:p>
    <w:p w14:paraId="0000002D" w14:textId="77777777" w:rsidR="00E76C98" w:rsidRDefault="001E17FB">
      <w:pPr>
        <w:tabs>
          <w:tab w:val="left" w:pos="1327"/>
        </w:tabs>
        <w:ind w:left="360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REFERENCIAS NORMATIVAS</w:t>
      </w:r>
    </w:p>
    <w:p w14:paraId="0000002E" w14:textId="77777777" w:rsidR="00E76C98" w:rsidRDefault="001E17FB">
      <w:pPr>
        <w:tabs>
          <w:tab w:val="left" w:pos="1327"/>
        </w:tabs>
        <w:ind w:left="360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0000002F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Constitución Política de los Estados Unidos Mexicanos. </w:t>
      </w:r>
    </w:p>
    <w:p w14:paraId="00000030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Convención Internacional de Naciones Unidas sobre los   Derechos de las Personas con Discapacidad.</w:t>
      </w:r>
    </w:p>
    <w:p w14:paraId="00000031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Ley General de Protección Civil.</w:t>
      </w:r>
    </w:p>
    <w:p w14:paraId="00000032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Ley Federal para Prevenir y Eliminar la Discriminación </w:t>
      </w:r>
    </w:p>
    <w:p w14:paraId="00000033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Ley General para la Inclusión de las Personas con Discapacidad. </w:t>
      </w:r>
    </w:p>
    <w:p w14:paraId="00000034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Reg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lamento de la Ley General de Protección Civil. </w:t>
      </w:r>
    </w:p>
    <w:p w14:paraId="00000035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Reglamento de la Ley General para la Inclusión de las Personas con Discapacidad </w:t>
      </w:r>
    </w:p>
    <w:p w14:paraId="00000036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NOM-001-STPS-2008, Edificios, locales, instalaciones y áreas en los centros de trabajo- condiciones de seguridad, publicada en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el Diario Oficial de la Federación el 24 de noviembre de 2008 </w:t>
      </w:r>
    </w:p>
    <w:p w14:paraId="00000037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NOM-026-STPS-2008, Colores y señales de seguridad e higiene, e identificación de riesgos por fluidos conducidos en tuberías, publicada en el Diario Oficial de la Federación el 25 de noviembre 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 2008.  </w:t>
      </w:r>
    </w:p>
    <w:p w14:paraId="00000038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NOM-005-SSA3-2010, Que establece los requisitos mínimos de infraestructura y equipamiento de establecimientos para la atención médica de pacientes ambulatorios, publicada en el Diario Oficial de la Federación el 16 de agosto de 2010. </w:t>
      </w:r>
    </w:p>
    <w:p w14:paraId="00000039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NOM-003-SEG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OB-2011, Señales y avisos para Protección Civil - Colores, formas y símbolos a utilizar, publicada en el Diario Oficial de la Federación el 23 de diciembre de 2011. </w:t>
      </w:r>
    </w:p>
    <w:p w14:paraId="0000003A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NOM-015-SSA3-2012, Para la atención integral a personas con discapacidad, publicada en el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Diario Oficial de la Federación el 14 de septiembre de 2012.</w:t>
      </w:r>
    </w:p>
    <w:p w14:paraId="0000003B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Plan Nacional de Desarrollo 2013-2018. 8.9. Programa Nacional para el Desarrollo y la Inclusión de las Personas con Discapacidad 2014-2018</w:t>
      </w:r>
    </w:p>
    <w:p w14:paraId="0000003C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Clasificación Internacional del Funcionamiento de la Dis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capacidad y de la Salud 2001, Organización Mundial de la Salud (OMS). </w:t>
      </w:r>
    </w:p>
    <w:p w14:paraId="0000003D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Programa Regional de Discapacidad y Rehabilitación y Programa de Emergencias y Desastres, “Atención a Personas con Discapacidad en situaciones de Desastres”, Organización Panamericana d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e la Salud, Organización Mundial de la Salud. </w:t>
      </w:r>
    </w:p>
    <w:p w14:paraId="0000003E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Manual Técnico de Accesibilidad de la Secretaría de Desarrollo Urbano y Vivienda SEDUVI. </w:t>
      </w:r>
    </w:p>
    <w:p w14:paraId="0000003F" w14:textId="77777777" w:rsidR="00E76C98" w:rsidRDefault="001E17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7"/>
        </w:tabs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“Guía para Personas con Discapacidad en caso de Emergencia y Desastres”, Corporación Gestión Ecuador en cooperación con USAID.</w:t>
      </w:r>
    </w:p>
    <w:p w14:paraId="00000040" w14:textId="77777777" w:rsidR="00E76C98" w:rsidRDefault="00E76C98">
      <w:pPr>
        <w:tabs>
          <w:tab w:val="left" w:pos="1327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00041" w14:textId="77777777" w:rsidR="00E76C98" w:rsidRDefault="00E76C98">
      <w:pPr>
        <w:tabs>
          <w:tab w:val="left" w:pos="1327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00042" w14:textId="77777777" w:rsidR="00E76C98" w:rsidRDefault="00E76C98">
      <w:pPr>
        <w:tabs>
          <w:tab w:val="left" w:pos="1327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00043" w14:textId="77777777" w:rsidR="00E76C98" w:rsidRDefault="00E76C98">
      <w:pPr>
        <w:tabs>
          <w:tab w:val="left" w:pos="1327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bookmarkStart w:id="0" w:name="_gjdgxs" w:colFirst="0" w:colLast="0"/>
      <w:bookmarkEnd w:id="0"/>
    </w:p>
    <w:p w14:paraId="00000044" w14:textId="77777777" w:rsidR="00E76C98" w:rsidRDefault="001E17FB">
      <w:pPr>
        <w:tabs>
          <w:tab w:val="left" w:pos="1327"/>
        </w:tabs>
        <w:spacing w:after="0" w:line="240" w:lineRule="auto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APOYOS </w:t>
      </w:r>
    </w:p>
    <w:p w14:paraId="00000045" w14:textId="77777777" w:rsidR="00E76C98" w:rsidRDefault="00E76C98">
      <w:pPr>
        <w:tabs>
          <w:tab w:val="left" w:pos="1327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0000046" w14:textId="77777777" w:rsidR="00E76C98" w:rsidRDefault="001E17FB">
      <w:pP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7F7F7F"/>
        </w:rPr>
        <w:t>Manual de Capacitación y sensibilización del personal de emergencia, brigadistas y voluntariado, para el trato y man</w:t>
      </w:r>
      <w:r>
        <w:rPr>
          <w:rFonts w:ascii="Century Gothic" w:eastAsia="Century Gothic" w:hAnsi="Century Gothic" w:cs="Century Gothic"/>
          <w:b/>
          <w:color w:val="7F7F7F"/>
        </w:rPr>
        <w:t>ejo digno de las Personas con discapacidad</w:t>
      </w:r>
    </w:p>
    <w:p w14:paraId="00000047" w14:textId="77777777" w:rsidR="00E76C98" w:rsidRDefault="00E76C98"/>
    <w:sectPr w:rsidR="00E76C98"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153"/>
    <w:multiLevelType w:val="multilevel"/>
    <w:tmpl w:val="622E01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1955DC1"/>
    <w:multiLevelType w:val="multilevel"/>
    <w:tmpl w:val="F640B1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4B096B71"/>
    <w:multiLevelType w:val="multilevel"/>
    <w:tmpl w:val="48AC40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A3F25"/>
    <w:multiLevelType w:val="multilevel"/>
    <w:tmpl w:val="63807AA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98"/>
    <w:rsid w:val="001E17FB"/>
    <w:rsid w:val="00E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7E69A0-3B50-460C-AF9F-866F82D3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Granados</dc:creator>
  <cp:lastModifiedBy>Gustavo Granados</cp:lastModifiedBy>
  <cp:revision>2</cp:revision>
  <dcterms:created xsi:type="dcterms:W3CDTF">2022-01-11T16:32:00Z</dcterms:created>
  <dcterms:modified xsi:type="dcterms:W3CDTF">2022-01-11T16:32:00Z</dcterms:modified>
</cp:coreProperties>
</file>