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5C956DFC" w:rsidR="000B7810" w:rsidRPr="00657009" w:rsidRDefault="00080E28" w:rsidP="004F234D">
      <w:pPr>
        <w:tabs>
          <w:tab w:val="left" w:leader="underscore" w:pos="9639"/>
        </w:tabs>
        <w:spacing w:after="0" w:line="240" w:lineRule="auto"/>
        <w:ind w:left="9639" w:hanging="9639"/>
        <w:jc w:val="center"/>
        <w:rPr>
          <w:rFonts w:ascii="Times New Roman" w:hAnsi="Times New Roman"/>
          <w:sz w:val="24"/>
          <w:szCs w:val="24"/>
        </w:rPr>
      </w:pPr>
      <w:r>
        <w:rPr>
          <w:rFonts w:ascii="Times New Roman" w:hAnsi="Times New Roman"/>
          <w:sz w:val="24"/>
          <w:szCs w:val="24"/>
        </w:rPr>
        <w:tab/>
      </w:r>
    </w:p>
    <w:p w14:paraId="507776DB" w14:textId="77777777" w:rsidR="007D1E76" w:rsidRPr="00E74967" w:rsidRDefault="00651E7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1312E7F"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231B4D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A6756CA" w14:textId="562DE68D"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19796F35" w14:textId="29B76E85"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40550">
              <w:rPr>
                <w:noProof/>
                <w:webHidden/>
              </w:rPr>
              <w:t>2</w:t>
            </w:r>
            <w:r w:rsidR="005F51CC">
              <w:rPr>
                <w:noProof/>
                <w:webHidden/>
              </w:rPr>
              <w:fldChar w:fldCharType="end"/>
            </w:r>
          </w:hyperlink>
        </w:p>
        <w:p w14:paraId="62AC0657" w14:textId="0F603ED1"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40550">
              <w:rPr>
                <w:noProof/>
                <w:webHidden/>
              </w:rPr>
              <w:t>4</w:t>
            </w:r>
            <w:r w:rsidR="005F51CC">
              <w:rPr>
                <w:noProof/>
                <w:webHidden/>
              </w:rPr>
              <w:fldChar w:fldCharType="end"/>
            </w:r>
          </w:hyperlink>
        </w:p>
        <w:p w14:paraId="7C7C1962" w14:textId="6390D2B6"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40550">
              <w:rPr>
                <w:noProof/>
                <w:webHidden/>
              </w:rPr>
              <w:t>5</w:t>
            </w:r>
            <w:r w:rsidR="005F51CC">
              <w:rPr>
                <w:noProof/>
                <w:webHidden/>
              </w:rPr>
              <w:fldChar w:fldCharType="end"/>
            </w:r>
          </w:hyperlink>
        </w:p>
        <w:p w14:paraId="3FE6C661" w14:textId="35C40F28"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135541CC" w14:textId="61EFA53D"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40550">
              <w:rPr>
                <w:noProof/>
                <w:webHidden/>
              </w:rPr>
              <w:t>6</w:t>
            </w:r>
            <w:r w:rsidR="005F51CC">
              <w:rPr>
                <w:noProof/>
                <w:webHidden/>
              </w:rPr>
              <w:fldChar w:fldCharType="end"/>
            </w:r>
          </w:hyperlink>
        </w:p>
        <w:p w14:paraId="48C9D852" w14:textId="2289A6BE"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40550">
              <w:rPr>
                <w:noProof/>
                <w:webHidden/>
              </w:rPr>
              <w:t>8</w:t>
            </w:r>
            <w:r w:rsidR="005F51CC">
              <w:rPr>
                <w:noProof/>
                <w:webHidden/>
              </w:rPr>
              <w:fldChar w:fldCharType="end"/>
            </w:r>
          </w:hyperlink>
        </w:p>
        <w:p w14:paraId="027C97E3" w14:textId="314EE35B"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40550">
              <w:rPr>
                <w:noProof/>
                <w:webHidden/>
              </w:rPr>
              <w:t>9</w:t>
            </w:r>
            <w:r w:rsidR="005F51CC">
              <w:rPr>
                <w:noProof/>
                <w:webHidden/>
              </w:rPr>
              <w:fldChar w:fldCharType="end"/>
            </w:r>
          </w:hyperlink>
        </w:p>
        <w:p w14:paraId="00DB87A1" w14:textId="34530981"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00EEECC2" w14:textId="5313F9A3"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40550">
              <w:rPr>
                <w:noProof/>
                <w:webHidden/>
              </w:rPr>
              <w:t>10</w:t>
            </w:r>
            <w:r w:rsidR="005F51CC">
              <w:rPr>
                <w:noProof/>
                <w:webHidden/>
              </w:rPr>
              <w:fldChar w:fldCharType="end"/>
            </w:r>
          </w:hyperlink>
        </w:p>
        <w:p w14:paraId="68FD7A9A" w14:textId="3FD84012"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5F55527F" w14:textId="44FB4946"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674ABB69" w14:textId="101184B5"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39048CDA" w14:textId="683109D4"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40550">
              <w:rPr>
                <w:noProof/>
                <w:webHidden/>
              </w:rPr>
              <w:t>11</w:t>
            </w:r>
            <w:r w:rsidR="005F51CC">
              <w:rPr>
                <w:noProof/>
                <w:webHidden/>
              </w:rPr>
              <w:fldChar w:fldCharType="end"/>
            </w:r>
          </w:hyperlink>
        </w:p>
        <w:p w14:paraId="7E9C5BA3" w14:textId="58EF95B0" w:rsidR="005F51CC" w:rsidRDefault="00651E7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40550">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4BA99342"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fue creada el 14 de septiembre de 2010 con la publicación del decreto Gubernativo 147 del Ejecutivo del Estado, publicado en el periódico Oficial del Gobierno del Estado No. 147</w:t>
      </w:r>
      <w:r>
        <w:rPr>
          <w:rFonts w:cs="Calibri"/>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6A1EB13E" w:rsidR="00516A8F" w:rsidRDefault="00D3028C" w:rsidP="00516A8F">
      <w:pPr>
        <w:tabs>
          <w:tab w:val="left" w:leader="underscore" w:pos="9639"/>
        </w:tabs>
        <w:spacing w:after="0" w:line="240" w:lineRule="auto"/>
        <w:jc w:val="both"/>
        <w:rPr>
          <w:rFonts w:cs="Calibri"/>
        </w:rPr>
      </w:pPr>
      <w:r w:rsidRPr="00D3028C">
        <w:rPr>
          <w:rFonts w:cs="Calibri"/>
        </w:rPr>
        <w:t xml:space="preserve">La Universidad basa sus estructuras a los lineamientos de la SEP, representadas por la </w:t>
      </w:r>
      <w:proofErr w:type="spellStart"/>
      <w:r>
        <w:rPr>
          <w:rFonts w:cs="Calibri"/>
        </w:rPr>
        <w:t>D</w:t>
      </w:r>
      <w:r w:rsidRPr="00D3028C">
        <w:rPr>
          <w:rFonts w:cs="Calibri"/>
        </w:rPr>
        <w:t>GUTyP</w:t>
      </w:r>
      <w:proofErr w:type="spellEnd"/>
      <w:r w:rsidRPr="00D3028C">
        <w:rPr>
          <w:rFonts w:cs="Calibri"/>
        </w:rPr>
        <w:t>, la cual en su momento autorizo la estructura B aplicable a una matrícula de 301 a 500 estudiantes. En el año 2013 se escaló a la estructura C correspondiente a una matrícula de 501 a 1000 alumnos con las que operamos actualmente.</w:t>
      </w:r>
    </w:p>
    <w:p w14:paraId="089E305B" w14:textId="77777777" w:rsidR="004E6751" w:rsidRPr="00E74967" w:rsidRDefault="004E6751"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37B1B933" w:rsidR="0012493A" w:rsidRDefault="00D3028C" w:rsidP="0012493A">
      <w:pPr>
        <w:tabs>
          <w:tab w:val="left" w:leader="underscore" w:pos="9639"/>
        </w:tabs>
        <w:spacing w:after="0" w:line="240" w:lineRule="auto"/>
        <w:jc w:val="both"/>
        <w:rPr>
          <w:rFonts w:cs="Calibri"/>
        </w:rPr>
      </w:pPr>
      <w:r w:rsidRPr="00D3028C">
        <w:rPr>
          <w:rFonts w:cs="Calibri"/>
        </w:rPr>
        <w:t>La Universidad, desde su creación, ha operado con déficit presupuestal por lo que cada año se realizan las gestiones de recursos necesarios para concluir el ejercicio (sueldos, servicios, etc.)</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33A6D1" w14:textId="77777777" w:rsidR="00D3028C" w:rsidRDefault="00D3028C" w:rsidP="00D3028C">
      <w:pPr>
        <w:tabs>
          <w:tab w:val="left" w:leader="underscore" w:pos="9639"/>
        </w:tabs>
        <w:spacing w:after="0" w:line="240" w:lineRule="auto"/>
        <w:jc w:val="both"/>
        <w:rPr>
          <w:rFonts w:cs="Calibri"/>
        </w:rPr>
      </w:pPr>
    </w:p>
    <w:p w14:paraId="607FE557" w14:textId="56E7C313" w:rsidR="00D3028C" w:rsidRDefault="00D3028C" w:rsidP="00D3028C">
      <w:pPr>
        <w:tabs>
          <w:tab w:val="left" w:leader="underscore" w:pos="9639"/>
        </w:tabs>
        <w:spacing w:after="0" w:line="240" w:lineRule="auto"/>
        <w:jc w:val="both"/>
        <w:rPr>
          <w:rFonts w:cs="Calibri"/>
        </w:rPr>
      </w:pPr>
      <w:r w:rsidRPr="00D3028C">
        <w:rPr>
          <w:rFonts w:cs="Calibri"/>
        </w:rPr>
        <w:t>La Universidad tiene por objeto:</w:t>
      </w:r>
    </w:p>
    <w:p w14:paraId="7A02C260" w14:textId="77777777" w:rsidR="00D3028C" w:rsidRPr="00D3028C" w:rsidRDefault="00D3028C" w:rsidP="00D3028C">
      <w:pPr>
        <w:tabs>
          <w:tab w:val="left" w:leader="underscore" w:pos="9639"/>
        </w:tabs>
        <w:spacing w:after="0" w:line="240" w:lineRule="auto"/>
        <w:jc w:val="both"/>
        <w:rPr>
          <w:rFonts w:cs="Calibri"/>
        </w:rPr>
      </w:pPr>
    </w:p>
    <w:p w14:paraId="258E2BE6" w14:textId="20DCC6D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14:paraId="5A36E29B" w14:textId="08E065DE"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Realizar la investigación aplicada y desarrollo tecnológico, pertinentes para el desarrollo económico y social de la región, del Estado y de la Nación;</w:t>
      </w:r>
    </w:p>
    <w:p w14:paraId="06A03C2A" w14:textId="10F5B947"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Difundir el conocimiento y la cultura a través de la extensión universitaria y la formación a lo largo de toda la vida;</w:t>
      </w:r>
    </w:p>
    <w:p w14:paraId="4C30C14B" w14:textId="1D333D1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Prestar servicios tecnológicos y de asesoría, que contribuyen a mejorar el desempeño de las empresas y otras organizaciones de la región y del Estado principalmente;</w:t>
      </w:r>
    </w:p>
    <w:p w14:paraId="05743045" w14:textId="156BDAA8" w:rsidR="00D3028C" w:rsidRPr="00D3028C" w:rsidRDefault="00D3028C" w:rsidP="00D3028C">
      <w:pPr>
        <w:pStyle w:val="Prrafodelista"/>
        <w:numPr>
          <w:ilvl w:val="0"/>
          <w:numId w:val="2"/>
        </w:numPr>
        <w:tabs>
          <w:tab w:val="left" w:leader="underscore" w:pos="9639"/>
        </w:tabs>
        <w:spacing w:after="0" w:line="240" w:lineRule="auto"/>
        <w:jc w:val="both"/>
        <w:rPr>
          <w:rFonts w:cs="Calibri"/>
        </w:rPr>
      </w:pPr>
      <w:r w:rsidRPr="00D3028C">
        <w:rPr>
          <w:rFonts w:cs="Calibri"/>
        </w:rPr>
        <w:t>Impartir programas de educación continua con orientación a la capacitación para el trabajo y al fomento de la cultura tecnológica en la región y en el Estado; y</w:t>
      </w:r>
    </w:p>
    <w:p w14:paraId="43C65E00" w14:textId="362716A1" w:rsidR="007D1E76" w:rsidRDefault="00D3028C" w:rsidP="00CB41C4">
      <w:pPr>
        <w:pStyle w:val="Prrafodelista"/>
        <w:numPr>
          <w:ilvl w:val="0"/>
          <w:numId w:val="2"/>
        </w:numPr>
        <w:tabs>
          <w:tab w:val="left" w:leader="underscore" w:pos="9639"/>
        </w:tabs>
        <w:spacing w:after="0" w:line="240" w:lineRule="auto"/>
        <w:jc w:val="both"/>
        <w:rPr>
          <w:rFonts w:cs="Calibri"/>
        </w:rPr>
      </w:pPr>
      <w:r w:rsidRPr="00D3028C">
        <w:rPr>
          <w:rFonts w:cs="Calibri"/>
        </w:rPr>
        <w:t>Ejecutar cualquier otro que permita consolidar el modelo educativo con base en competencias.</w:t>
      </w:r>
    </w:p>
    <w:p w14:paraId="149BF290" w14:textId="77777777" w:rsidR="00CC10F0" w:rsidRPr="00D3028C" w:rsidRDefault="00CC10F0" w:rsidP="00CC10F0">
      <w:pPr>
        <w:pStyle w:val="Prrafodelista"/>
        <w:tabs>
          <w:tab w:val="left" w:leader="underscore" w:pos="9639"/>
        </w:tabs>
        <w:spacing w:after="0" w:line="240" w:lineRule="auto"/>
        <w:ind w:left="1080"/>
        <w:jc w:val="both"/>
        <w:rPr>
          <w:rFonts w:cs="Calibri"/>
        </w:rPr>
      </w:pPr>
    </w:p>
    <w:p w14:paraId="5DC6983B" w14:textId="77777777" w:rsidR="004E6751" w:rsidRDefault="004E6751" w:rsidP="00CB41C4">
      <w:pPr>
        <w:tabs>
          <w:tab w:val="left" w:leader="underscore" w:pos="9639"/>
        </w:tabs>
        <w:spacing w:after="0" w:line="240" w:lineRule="auto"/>
        <w:jc w:val="both"/>
        <w:rPr>
          <w:rFonts w:cs="Calibri"/>
          <w:b/>
        </w:rPr>
      </w:pPr>
    </w:p>
    <w:p w14:paraId="2C110A08" w14:textId="7122C4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3725C425" w:rsidR="007D1E76" w:rsidRDefault="00D3028C" w:rsidP="00CB41C4">
      <w:pPr>
        <w:tabs>
          <w:tab w:val="left" w:leader="underscore" w:pos="9639"/>
        </w:tabs>
        <w:spacing w:after="0" w:line="240" w:lineRule="auto"/>
        <w:jc w:val="both"/>
        <w:rPr>
          <w:rFonts w:cs="Calibri"/>
        </w:rPr>
      </w:pPr>
      <w:r w:rsidRPr="00D3028C">
        <w:rPr>
          <w:rFonts w:cs="Calibri"/>
        </w:rPr>
        <w:t>La Universidad cuenta con seis Programas Educativos con los que busca la formación integral de profesionales con un modelo educativo basado en competencias.</w:t>
      </w:r>
    </w:p>
    <w:p w14:paraId="15F90EEC" w14:textId="77777777" w:rsidR="00CB41C4" w:rsidRPr="00E74967" w:rsidRDefault="00CB41C4" w:rsidP="00CB41C4">
      <w:pPr>
        <w:tabs>
          <w:tab w:val="left" w:leader="underscore" w:pos="9639"/>
        </w:tabs>
        <w:spacing w:after="0" w:line="240" w:lineRule="auto"/>
        <w:jc w:val="both"/>
        <w:rPr>
          <w:rFonts w:cs="Calibri"/>
        </w:rPr>
      </w:pPr>
    </w:p>
    <w:p w14:paraId="5301E17A" w14:textId="77777777" w:rsidR="004E6751" w:rsidRDefault="004E6751" w:rsidP="00CB41C4">
      <w:pPr>
        <w:tabs>
          <w:tab w:val="left" w:leader="underscore" w:pos="9639"/>
        </w:tabs>
        <w:spacing w:after="0" w:line="240" w:lineRule="auto"/>
        <w:jc w:val="both"/>
        <w:rPr>
          <w:rFonts w:cs="Calibri"/>
          <w:b/>
        </w:rPr>
      </w:pPr>
    </w:p>
    <w:p w14:paraId="2D21CE61" w14:textId="26CAF41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581E6CE6" w:rsidR="007D1E76" w:rsidRPr="00E74967" w:rsidRDefault="00D3028C" w:rsidP="00CB41C4">
      <w:pPr>
        <w:tabs>
          <w:tab w:val="left" w:leader="underscore" w:pos="9639"/>
        </w:tabs>
        <w:spacing w:after="0" w:line="240" w:lineRule="auto"/>
        <w:jc w:val="both"/>
        <w:rPr>
          <w:rFonts w:cs="Calibri"/>
        </w:rPr>
      </w:pPr>
      <w:r w:rsidRPr="004C7093">
        <w:rPr>
          <w:rFonts w:cs="Calibri"/>
        </w:rPr>
        <w:t>Enero a</w:t>
      </w:r>
      <w:r w:rsidR="00E44F2A" w:rsidRPr="004C7093">
        <w:rPr>
          <w:rFonts w:cs="Calibri"/>
        </w:rPr>
        <w:t xml:space="preserve"> </w:t>
      </w:r>
      <w:r w:rsidR="009B5F05">
        <w:rPr>
          <w:rFonts w:cs="Calibri"/>
        </w:rPr>
        <w:t>diciembre</w:t>
      </w:r>
      <w:r w:rsidRPr="004C7093">
        <w:rPr>
          <w:rFonts w:cs="Calibri"/>
        </w:rPr>
        <w:t xml:space="preserve"> de 202</w:t>
      </w:r>
      <w:r w:rsidR="00FC0600">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0601972B" w14:textId="77777777" w:rsidR="004E6751" w:rsidRDefault="004E6751" w:rsidP="00CB41C4">
      <w:pPr>
        <w:tabs>
          <w:tab w:val="left" w:leader="underscore" w:pos="9639"/>
        </w:tabs>
        <w:spacing w:after="0" w:line="240" w:lineRule="auto"/>
        <w:jc w:val="both"/>
        <w:rPr>
          <w:rFonts w:cs="Calibri"/>
          <w:b/>
        </w:rPr>
      </w:pPr>
    </w:p>
    <w:p w14:paraId="6B13C93F" w14:textId="0A33F3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022A7FEA" w:rsidR="007D1E76" w:rsidRPr="00E74967" w:rsidRDefault="00D3028C" w:rsidP="00CB41C4">
      <w:pPr>
        <w:tabs>
          <w:tab w:val="left" w:leader="underscore" w:pos="9639"/>
        </w:tabs>
        <w:spacing w:after="0" w:line="240" w:lineRule="auto"/>
        <w:jc w:val="both"/>
        <w:rPr>
          <w:rFonts w:cs="Calibri"/>
        </w:rPr>
      </w:pPr>
      <w:r w:rsidRPr="00D3028C">
        <w:rPr>
          <w:rFonts w:cs="Calibri"/>
        </w:rPr>
        <w:t>La Universidad Politécnica del Bicentenario está dada de alta en el Registro Federal de Contribuyentes bajo el régimen fiscal de Personas Morales sin fines de lucro</w:t>
      </w:r>
      <w:r>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579EF556" w14:textId="77777777" w:rsidR="004E6751" w:rsidRDefault="004E6751" w:rsidP="00CB41C4">
      <w:pPr>
        <w:tabs>
          <w:tab w:val="left" w:leader="underscore" w:pos="9639"/>
        </w:tabs>
        <w:spacing w:after="0" w:line="240" w:lineRule="auto"/>
        <w:jc w:val="both"/>
        <w:rPr>
          <w:rFonts w:cs="Calibri"/>
          <w:b/>
        </w:rPr>
      </w:pPr>
    </w:p>
    <w:p w14:paraId="15948964" w14:textId="06110FFC"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EE4A001" w14:textId="675EAD31" w:rsidR="00A1273E" w:rsidRDefault="00D3028C" w:rsidP="00CB41C4">
      <w:pPr>
        <w:tabs>
          <w:tab w:val="left" w:leader="underscore" w:pos="9639"/>
        </w:tabs>
        <w:spacing w:after="0" w:line="240" w:lineRule="auto"/>
        <w:jc w:val="both"/>
        <w:rPr>
          <w:rFonts w:cs="Calibri"/>
        </w:rPr>
      </w:pPr>
      <w:r w:rsidRPr="00D3028C">
        <w:rPr>
          <w:rFonts w:cs="Calibri"/>
        </w:rPr>
        <w:t xml:space="preserve">La Universidad Politécnica del Bicentenario es no contribuyente del Impuesto Sobre la Renta en los términos del Art. 79 </w:t>
      </w:r>
      <w:r>
        <w:rPr>
          <w:rFonts w:cs="Calibri"/>
        </w:rPr>
        <w:t>F</w:t>
      </w:r>
      <w:r w:rsidRPr="00D3028C">
        <w:rPr>
          <w:rFonts w:cs="Calibri"/>
        </w:rPr>
        <w:t>racc. X de la LISR.</w:t>
      </w:r>
    </w:p>
    <w:p w14:paraId="3E1387BE" w14:textId="77777777" w:rsidR="00A1273E" w:rsidRPr="00A1273E" w:rsidRDefault="00A1273E" w:rsidP="00A1273E">
      <w:pPr>
        <w:tabs>
          <w:tab w:val="left" w:leader="underscore" w:pos="9639"/>
        </w:tabs>
        <w:spacing w:after="0" w:line="240" w:lineRule="auto"/>
        <w:jc w:val="both"/>
        <w:rPr>
          <w:rFonts w:cs="Calibri"/>
        </w:rPr>
      </w:pPr>
      <w:r w:rsidRPr="00A1273E">
        <w:rPr>
          <w:rFonts w:cs="Calibri"/>
        </w:rPr>
        <w:t>A la fecha se tienen las siguientes obligaciones fiscales:</w:t>
      </w:r>
    </w:p>
    <w:p w14:paraId="762F9831" w14:textId="77777777" w:rsid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 xml:space="preserve">Entero de retenciones mensuales de ISR por sueldos y salarios </w:t>
      </w:r>
    </w:p>
    <w:p w14:paraId="7A1AF2F3" w14:textId="6769AE63" w:rsidR="00A1273E" w:rsidRPr="00A1273E" w:rsidRDefault="00A1273E" w:rsidP="00A1273E">
      <w:pPr>
        <w:tabs>
          <w:tab w:val="left" w:leader="underscore" w:pos="9639"/>
        </w:tabs>
        <w:spacing w:after="0" w:line="240" w:lineRule="auto"/>
        <w:jc w:val="both"/>
        <w:rPr>
          <w:rFonts w:cs="Calibri"/>
        </w:rPr>
      </w:pPr>
      <w:r w:rsidRPr="00A1273E">
        <w:rPr>
          <w:rFonts w:cs="Calibri"/>
        </w:rPr>
        <w:t>-</w:t>
      </w:r>
      <w:r w:rsidRPr="00A1273E">
        <w:t xml:space="preserve"> </w:t>
      </w:r>
      <w:r w:rsidRPr="00A1273E">
        <w:rPr>
          <w:rFonts w:cs="Calibri"/>
        </w:rPr>
        <w:t>Entero de retención de ISR por servicios profesionales.</w:t>
      </w:r>
      <w:r>
        <w:rPr>
          <w:rFonts w:cs="Calibri"/>
        </w:rPr>
        <w:t xml:space="preserve"> </w:t>
      </w:r>
      <w:r w:rsidRPr="00A1273E">
        <w:rPr>
          <w:rFonts w:cs="Calibri"/>
        </w:rPr>
        <w:t>MENSUAL</w:t>
      </w:r>
    </w:p>
    <w:p w14:paraId="76E7445E" w14:textId="237DDB76" w:rsidR="00A1273E" w:rsidRPr="00A1273E" w:rsidRDefault="00A1273E" w:rsidP="00A1273E">
      <w:pPr>
        <w:tabs>
          <w:tab w:val="left" w:leader="underscore" w:pos="9639"/>
        </w:tabs>
        <w:spacing w:after="0" w:line="240" w:lineRule="auto"/>
        <w:jc w:val="both"/>
        <w:rPr>
          <w:rFonts w:cs="Calibri"/>
        </w:rPr>
      </w:pPr>
      <w:r w:rsidRPr="00A1273E">
        <w:rPr>
          <w:rFonts w:cs="Calibri"/>
        </w:rPr>
        <w:t>-Declaración informativa anual de pagos y retenciones de</w:t>
      </w:r>
      <w:r>
        <w:rPr>
          <w:rFonts w:cs="Calibri"/>
        </w:rPr>
        <w:t xml:space="preserve"> </w:t>
      </w:r>
      <w:r w:rsidRPr="00A1273E">
        <w:rPr>
          <w:rFonts w:cs="Calibri"/>
        </w:rPr>
        <w:t>servicios profesionales. Personas Morales.</w:t>
      </w:r>
      <w:r>
        <w:rPr>
          <w:rFonts w:cs="Calibri"/>
        </w:rPr>
        <w:t xml:space="preserve"> </w:t>
      </w:r>
      <w:r w:rsidRPr="00A1273E">
        <w:rPr>
          <w:rFonts w:cs="Calibri"/>
        </w:rPr>
        <w:t>Impuesto Sobre la</w:t>
      </w:r>
      <w:r>
        <w:rPr>
          <w:rFonts w:cs="Calibri"/>
        </w:rPr>
        <w:t xml:space="preserve"> </w:t>
      </w:r>
      <w:r w:rsidRPr="00A1273E">
        <w:rPr>
          <w:rFonts w:cs="Calibri"/>
        </w:rPr>
        <w:t>Renta</w:t>
      </w:r>
    </w:p>
    <w:p w14:paraId="2136C02A" w14:textId="302D711B"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anual donde se informe sobre las retenciones de los trabajadores que reciben sueldos y salarios.</w:t>
      </w:r>
    </w:p>
    <w:p w14:paraId="4C76C208" w14:textId="5A58D5B9" w:rsidR="00A1273E" w:rsidRPr="00A1273E" w:rsidRDefault="00A1273E" w:rsidP="00A1273E">
      <w:pPr>
        <w:tabs>
          <w:tab w:val="left" w:leader="underscore" w:pos="9639"/>
        </w:tabs>
        <w:spacing w:after="0" w:line="240" w:lineRule="auto"/>
        <w:jc w:val="both"/>
        <w:rPr>
          <w:rFonts w:cs="Calibri"/>
        </w:rPr>
      </w:pPr>
      <w:r w:rsidRPr="00A1273E">
        <w:rPr>
          <w:rFonts w:cs="Calibri"/>
        </w:rPr>
        <w:t>-Presentar declaración Informativa anual de Subsidio al Empleo.</w:t>
      </w:r>
    </w:p>
    <w:p w14:paraId="1BBACF86" w14:textId="169CB62A" w:rsidR="00A1273E" w:rsidRPr="00E74967" w:rsidRDefault="00A1273E" w:rsidP="00CB41C4">
      <w:pPr>
        <w:tabs>
          <w:tab w:val="left" w:leader="underscore" w:pos="9639"/>
        </w:tabs>
        <w:spacing w:after="0" w:line="240" w:lineRule="auto"/>
        <w:jc w:val="both"/>
        <w:rPr>
          <w:rFonts w:cs="Calibri"/>
        </w:rPr>
      </w:pPr>
      <w:r w:rsidRPr="00A1273E">
        <w:rPr>
          <w:rFonts w:cs="Calibri"/>
        </w:rPr>
        <w:t>-Presentar declaración y pago provisional mensuales del impuesto sobre Nómina.</w:t>
      </w:r>
    </w:p>
    <w:p w14:paraId="38632F13" w14:textId="77777777" w:rsidR="004E6751" w:rsidRDefault="004E6751" w:rsidP="00CB41C4">
      <w:pPr>
        <w:tabs>
          <w:tab w:val="left" w:leader="underscore" w:pos="9639"/>
        </w:tabs>
        <w:spacing w:after="0" w:line="240" w:lineRule="auto"/>
        <w:jc w:val="both"/>
        <w:rPr>
          <w:rFonts w:cs="Calibri"/>
          <w:b/>
        </w:rPr>
      </w:pPr>
    </w:p>
    <w:p w14:paraId="6EB77A6D" w14:textId="0836C65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7660" w:type="dxa"/>
        <w:tblCellMar>
          <w:left w:w="70" w:type="dxa"/>
          <w:right w:w="70" w:type="dxa"/>
        </w:tblCellMar>
        <w:tblLook w:val="04A0" w:firstRow="1" w:lastRow="0" w:firstColumn="1" w:lastColumn="0" w:noHBand="0" w:noVBand="1"/>
      </w:tblPr>
      <w:tblGrid>
        <w:gridCol w:w="5340"/>
        <w:gridCol w:w="2320"/>
      </w:tblGrid>
      <w:tr w:rsidR="00A1273E" w:rsidRPr="00A1273E" w14:paraId="6623A503" w14:textId="77777777" w:rsidTr="00D13796">
        <w:trPr>
          <w:trHeight w:val="600"/>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A7F2"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NOMENCLATURA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18BAAC9" w14:textId="77777777" w:rsidR="00A1273E" w:rsidRPr="00A1273E" w:rsidRDefault="00A1273E" w:rsidP="00A1273E">
            <w:pPr>
              <w:spacing w:after="0" w:line="240" w:lineRule="auto"/>
              <w:jc w:val="center"/>
              <w:rPr>
                <w:rFonts w:eastAsia="Times New Roman" w:cs="Calibri"/>
                <w:b/>
                <w:bCs/>
                <w:color w:val="000000"/>
                <w:lang w:eastAsia="es-MX"/>
              </w:rPr>
            </w:pPr>
            <w:r w:rsidRPr="00A1273E">
              <w:rPr>
                <w:rFonts w:eastAsia="Times New Roman" w:cs="Calibri"/>
                <w:b/>
                <w:bCs/>
                <w:color w:val="000000"/>
                <w:lang w:eastAsia="es-MX"/>
              </w:rPr>
              <w:t>NÚMERO DE</w:t>
            </w:r>
            <w:r w:rsidRPr="00A1273E">
              <w:rPr>
                <w:rFonts w:eastAsia="Times New Roman" w:cs="Calibri"/>
                <w:b/>
                <w:bCs/>
                <w:color w:val="000000"/>
                <w:lang w:eastAsia="es-MX"/>
              </w:rPr>
              <w:br/>
              <w:t>PLAZAS</w:t>
            </w:r>
          </w:p>
        </w:tc>
      </w:tr>
      <w:tr w:rsidR="00A1273E" w:rsidRPr="00A1273E" w14:paraId="2A4DA3FC"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007E434E"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RECTOR</w:t>
            </w:r>
          </w:p>
        </w:tc>
        <w:tc>
          <w:tcPr>
            <w:tcW w:w="2320" w:type="dxa"/>
            <w:tcBorders>
              <w:top w:val="nil"/>
              <w:left w:val="nil"/>
              <w:bottom w:val="single" w:sz="4" w:space="0" w:color="auto"/>
              <w:right w:val="single" w:sz="4" w:space="0" w:color="auto"/>
            </w:tcBorders>
            <w:shd w:val="clear" w:color="auto" w:fill="auto"/>
            <w:noWrap/>
            <w:vAlign w:val="bottom"/>
            <w:hideMark/>
          </w:tcPr>
          <w:p w14:paraId="06E8C156"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96031F2"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7F98D22C" w14:textId="77777777"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SECRETARIO ACADÉMICO</w:t>
            </w:r>
          </w:p>
        </w:tc>
        <w:tc>
          <w:tcPr>
            <w:tcW w:w="2320" w:type="dxa"/>
            <w:tcBorders>
              <w:top w:val="nil"/>
              <w:left w:val="nil"/>
              <w:bottom w:val="single" w:sz="4" w:space="0" w:color="auto"/>
              <w:right w:val="single" w:sz="4" w:space="0" w:color="auto"/>
            </w:tcBorders>
            <w:shd w:val="clear" w:color="000000" w:fill="D9D9D9"/>
            <w:noWrap/>
            <w:vAlign w:val="bottom"/>
            <w:hideMark/>
          </w:tcPr>
          <w:p w14:paraId="24C3DF74"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25450B3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4A68CB5C" w14:textId="62F3A7EF"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SECRETARIO </w:t>
            </w:r>
            <w:r w:rsidR="00FC0600">
              <w:rPr>
                <w:rFonts w:eastAsia="Times New Roman" w:cs="Calibri"/>
                <w:color w:val="000000"/>
                <w:lang w:eastAsia="es-MX"/>
              </w:rPr>
              <w:t xml:space="preserve">DE VINCULACIÓN / </w:t>
            </w:r>
            <w:r w:rsidRPr="00A1273E">
              <w:rPr>
                <w:rFonts w:eastAsia="Times New Roman" w:cs="Calibri"/>
                <w:color w:val="000000"/>
                <w:lang w:eastAsia="es-MX"/>
              </w:rPr>
              <w:t>ADMINISTRATIVO</w:t>
            </w:r>
          </w:p>
        </w:tc>
        <w:tc>
          <w:tcPr>
            <w:tcW w:w="2320" w:type="dxa"/>
            <w:tcBorders>
              <w:top w:val="nil"/>
              <w:left w:val="nil"/>
              <w:bottom w:val="single" w:sz="4" w:space="0" w:color="auto"/>
              <w:right w:val="single" w:sz="4" w:space="0" w:color="auto"/>
            </w:tcBorders>
            <w:shd w:val="clear" w:color="auto" w:fill="auto"/>
            <w:noWrap/>
            <w:vAlign w:val="bottom"/>
            <w:hideMark/>
          </w:tcPr>
          <w:p w14:paraId="314E55F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DB183E1"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14:paraId="64CC5469" w14:textId="64BCC8FE"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ABOGAD</w:t>
            </w:r>
            <w:r w:rsidR="00FC0600">
              <w:rPr>
                <w:rFonts w:eastAsia="Times New Roman" w:cs="Calibri"/>
                <w:color w:val="000000"/>
                <w:lang w:eastAsia="es-MX"/>
              </w:rPr>
              <w:t>O</w:t>
            </w:r>
            <w:r w:rsidRPr="00A1273E">
              <w:rPr>
                <w:rFonts w:eastAsia="Times New Roman" w:cs="Calibri"/>
                <w:color w:val="000000"/>
                <w:lang w:eastAsia="es-MX"/>
              </w:rPr>
              <w:t xml:space="preserve"> GENERAL</w:t>
            </w:r>
          </w:p>
        </w:tc>
        <w:tc>
          <w:tcPr>
            <w:tcW w:w="2320" w:type="dxa"/>
            <w:tcBorders>
              <w:top w:val="nil"/>
              <w:left w:val="nil"/>
              <w:bottom w:val="single" w:sz="4" w:space="0" w:color="auto"/>
              <w:right w:val="single" w:sz="4" w:space="0" w:color="auto"/>
            </w:tcBorders>
            <w:shd w:val="clear" w:color="000000" w:fill="D9D9D9"/>
            <w:noWrap/>
            <w:vAlign w:val="bottom"/>
            <w:hideMark/>
          </w:tcPr>
          <w:p w14:paraId="0DCF1DA9" w14:textId="77777777"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5C262296"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7E1D445F" w14:textId="596EAA91"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DIRECTOR</w:t>
            </w:r>
            <w:r w:rsidR="00FC0600">
              <w:rPr>
                <w:rFonts w:eastAsia="Times New Roman" w:cs="Calibri"/>
                <w:color w:val="000000"/>
                <w:lang w:eastAsia="es-MX"/>
              </w:rPr>
              <w:t xml:space="preserve"> DE ÁREA</w:t>
            </w:r>
          </w:p>
        </w:tc>
        <w:tc>
          <w:tcPr>
            <w:tcW w:w="2320" w:type="dxa"/>
            <w:tcBorders>
              <w:top w:val="nil"/>
              <w:left w:val="nil"/>
              <w:bottom w:val="single" w:sz="4" w:space="0" w:color="auto"/>
              <w:right w:val="single" w:sz="4" w:space="0" w:color="auto"/>
            </w:tcBorders>
            <w:shd w:val="clear" w:color="auto" w:fill="auto"/>
            <w:noWrap/>
            <w:vAlign w:val="bottom"/>
            <w:hideMark/>
          </w:tcPr>
          <w:p w14:paraId="43D4F775" w14:textId="3E5D8F7B"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w:t>
            </w:r>
          </w:p>
        </w:tc>
      </w:tr>
      <w:tr w:rsidR="00A1273E" w:rsidRPr="00A1273E" w14:paraId="203E7C84" w14:textId="77777777" w:rsidTr="00D13796">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tcPr>
          <w:p w14:paraId="3E09C197" w14:textId="7A6D2DC2"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JEFE DE DEPARTAMENTO</w:t>
            </w:r>
          </w:p>
        </w:tc>
        <w:tc>
          <w:tcPr>
            <w:tcW w:w="2320" w:type="dxa"/>
            <w:tcBorders>
              <w:top w:val="nil"/>
              <w:left w:val="nil"/>
              <w:bottom w:val="single" w:sz="4" w:space="0" w:color="auto"/>
              <w:right w:val="single" w:sz="4" w:space="0" w:color="auto"/>
            </w:tcBorders>
            <w:shd w:val="clear" w:color="000000" w:fill="D9D9D9"/>
            <w:noWrap/>
            <w:vAlign w:val="bottom"/>
          </w:tcPr>
          <w:p w14:paraId="17548351" w14:textId="5239B7C0"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29C7F0A7"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83B8F60" w14:textId="6A2255E0"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TITULAR “A”</w:t>
            </w:r>
          </w:p>
        </w:tc>
        <w:tc>
          <w:tcPr>
            <w:tcW w:w="2320" w:type="dxa"/>
            <w:tcBorders>
              <w:top w:val="nil"/>
              <w:left w:val="nil"/>
              <w:bottom w:val="single" w:sz="4" w:space="0" w:color="auto"/>
              <w:right w:val="single" w:sz="4" w:space="0" w:color="auto"/>
            </w:tcBorders>
            <w:shd w:val="clear" w:color="auto" w:fill="auto"/>
            <w:noWrap/>
            <w:vAlign w:val="bottom"/>
            <w:hideMark/>
          </w:tcPr>
          <w:p w14:paraId="3FF80AED" w14:textId="7F4E08F1"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32</w:t>
            </w:r>
          </w:p>
        </w:tc>
      </w:tr>
      <w:tr w:rsidR="00A1273E" w:rsidRPr="00A1273E" w14:paraId="7908D1FF"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68063D" w14:textId="6871BA45"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PROFESOR </w:t>
            </w:r>
            <w:r w:rsidR="00FC0600">
              <w:rPr>
                <w:rFonts w:eastAsia="Times New Roman" w:cs="Calibri"/>
                <w:color w:val="000000"/>
                <w:lang w:eastAsia="es-MX"/>
              </w:rPr>
              <w:t>TITULAR “B”</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FC44E9F" w14:textId="4BAA0F3F"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2</w:t>
            </w:r>
          </w:p>
        </w:tc>
      </w:tr>
      <w:tr w:rsidR="00A1273E" w:rsidRPr="00A1273E" w14:paraId="66C13760"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26D123B" w14:textId="46CFDC8C"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COORDINADOR</w:t>
            </w:r>
          </w:p>
        </w:tc>
        <w:tc>
          <w:tcPr>
            <w:tcW w:w="2320" w:type="dxa"/>
            <w:tcBorders>
              <w:top w:val="nil"/>
              <w:left w:val="nil"/>
              <w:bottom w:val="single" w:sz="4" w:space="0" w:color="auto"/>
              <w:right w:val="single" w:sz="4" w:space="0" w:color="auto"/>
            </w:tcBorders>
            <w:shd w:val="clear" w:color="auto" w:fill="auto"/>
            <w:noWrap/>
            <w:vAlign w:val="bottom"/>
            <w:hideMark/>
          </w:tcPr>
          <w:p w14:paraId="0D613F2C" w14:textId="4EB6E889"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5</w:t>
            </w:r>
          </w:p>
        </w:tc>
      </w:tr>
      <w:tr w:rsidR="00A1273E" w:rsidRPr="00A1273E" w14:paraId="1FFA9C09"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D764727" w14:textId="2B9AA644"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 xml:space="preserve">JEFE DE </w:t>
            </w:r>
            <w:r w:rsidR="00FC0600">
              <w:rPr>
                <w:rFonts w:eastAsia="Times New Roman" w:cs="Calibri"/>
                <w:color w:val="000000"/>
                <w:lang w:eastAsia="es-MX"/>
              </w:rPr>
              <w:t>OFICINA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45E82" w14:textId="5A03BB5E" w:rsidR="00A1273E" w:rsidRPr="00A1273E" w:rsidRDefault="00A1273E" w:rsidP="00A1273E">
            <w:pPr>
              <w:spacing w:after="0" w:line="240" w:lineRule="auto"/>
              <w:jc w:val="center"/>
              <w:rPr>
                <w:rFonts w:eastAsia="Times New Roman" w:cs="Calibri"/>
                <w:color w:val="000000"/>
                <w:lang w:eastAsia="es-MX"/>
              </w:rPr>
            </w:pPr>
            <w:r w:rsidRPr="00A1273E">
              <w:rPr>
                <w:rFonts w:eastAsia="Times New Roman" w:cs="Calibri"/>
                <w:color w:val="000000"/>
                <w:lang w:eastAsia="es-MX"/>
              </w:rPr>
              <w:t>1</w:t>
            </w:r>
          </w:p>
        </w:tc>
      </w:tr>
      <w:tr w:rsidR="00A1273E" w:rsidRPr="00A1273E" w14:paraId="0C63C43A"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6C40D3F1" w14:textId="1377D9D8" w:rsidR="00A1273E" w:rsidRPr="00A1273E" w:rsidRDefault="00A1273E" w:rsidP="00A1273E">
            <w:pPr>
              <w:spacing w:after="0" w:line="240" w:lineRule="auto"/>
              <w:rPr>
                <w:rFonts w:eastAsia="Times New Roman" w:cs="Calibri"/>
                <w:color w:val="000000"/>
                <w:lang w:eastAsia="es-MX"/>
              </w:rPr>
            </w:pPr>
            <w:r w:rsidRPr="00A1273E">
              <w:rPr>
                <w:rFonts w:eastAsia="Times New Roman" w:cs="Calibri"/>
                <w:color w:val="000000"/>
                <w:lang w:eastAsia="es-MX"/>
              </w:rPr>
              <w:t>C</w:t>
            </w:r>
            <w:r w:rsidR="00FC0600">
              <w:rPr>
                <w:rFonts w:eastAsia="Times New Roman" w:cs="Calibri"/>
                <w:color w:val="000000"/>
                <w:lang w:eastAsia="es-MX"/>
              </w:rPr>
              <w:t>HOFER DEL RECTOR</w:t>
            </w:r>
          </w:p>
        </w:tc>
        <w:tc>
          <w:tcPr>
            <w:tcW w:w="2320" w:type="dxa"/>
            <w:tcBorders>
              <w:top w:val="nil"/>
              <w:left w:val="nil"/>
              <w:bottom w:val="single" w:sz="4" w:space="0" w:color="auto"/>
              <w:right w:val="single" w:sz="4" w:space="0" w:color="auto"/>
            </w:tcBorders>
            <w:shd w:val="clear" w:color="auto" w:fill="auto"/>
            <w:noWrap/>
            <w:vAlign w:val="bottom"/>
            <w:hideMark/>
          </w:tcPr>
          <w:p w14:paraId="0E0FBA1E" w14:textId="6580EC7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5A12711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A6BA8CE" w14:textId="3A16A27A"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lastRenderedPageBreak/>
              <w:t>SECRETARIA DE RECTOR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37C878" w14:textId="5AF6ED82"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w:t>
            </w:r>
          </w:p>
        </w:tc>
      </w:tr>
      <w:tr w:rsidR="00A1273E" w:rsidRPr="00A1273E" w14:paraId="00D5B551" w14:textId="77777777" w:rsidTr="00D1379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10889257" w14:textId="2B2816BF" w:rsidR="00A1273E" w:rsidRPr="00A1273E" w:rsidRDefault="00FC0600" w:rsidP="00A1273E">
            <w:pPr>
              <w:spacing w:after="0" w:line="240" w:lineRule="auto"/>
              <w:rPr>
                <w:rFonts w:eastAsia="Times New Roman" w:cs="Calibri"/>
                <w:color w:val="000000"/>
                <w:lang w:eastAsia="es-MX"/>
              </w:rPr>
            </w:pPr>
            <w:r>
              <w:rPr>
                <w:rFonts w:eastAsia="Times New Roman" w:cs="Calibri"/>
                <w:color w:val="000000"/>
                <w:lang w:eastAsia="es-MX"/>
              </w:rPr>
              <w:t>PROFESOR DE ASIGNATURA “C” (H/S/M)</w:t>
            </w:r>
          </w:p>
        </w:tc>
        <w:tc>
          <w:tcPr>
            <w:tcW w:w="2320" w:type="dxa"/>
            <w:tcBorders>
              <w:top w:val="nil"/>
              <w:left w:val="nil"/>
              <w:bottom w:val="single" w:sz="4" w:space="0" w:color="auto"/>
              <w:right w:val="single" w:sz="4" w:space="0" w:color="auto"/>
            </w:tcBorders>
            <w:shd w:val="clear" w:color="auto" w:fill="auto"/>
            <w:noWrap/>
            <w:vAlign w:val="bottom"/>
            <w:hideMark/>
          </w:tcPr>
          <w:p w14:paraId="6262BC11" w14:textId="3BCD1285" w:rsidR="00A1273E"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1291</w:t>
            </w:r>
          </w:p>
        </w:tc>
      </w:tr>
      <w:tr w:rsidR="00FC0600" w:rsidRPr="00A1273E" w14:paraId="47D6AA1A" w14:textId="77777777" w:rsidTr="00ED0EF1">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14:paraId="21998F70" w14:textId="4D693A14" w:rsidR="00FC0600" w:rsidRPr="00A1273E" w:rsidRDefault="00FC0600" w:rsidP="00A1273E">
            <w:pPr>
              <w:spacing w:after="0" w:line="240" w:lineRule="auto"/>
              <w:rPr>
                <w:rFonts w:eastAsia="Times New Roman" w:cs="Calibri"/>
                <w:color w:val="000000"/>
                <w:lang w:eastAsia="es-MX"/>
              </w:rPr>
            </w:pPr>
            <w:r w:rsidRPr="00A1273E">
              <w:rPr>
                <w:rFonts w:eastAsia="Times New Roman" w:cs="Calibri"/>
                <w:color w:val="000000"/>
                <w:lang w:eastAsia="es-MX"/>
              </w:rPr>
              <w:t>TOTAL</w:t>
            </w:r>
          </w:p>
        </w:tc>
        <w:tc>
          <w:tcPr>
            <w:tcW w:w="2320" w:type="dxa"/>
            <w:tcBorders>
              <w:top w:val="nil"/>
              <w:left w:val="nil"/>
              <w:bottom w:val="single" w:sz="4" w:space="0" w:color="auto"/>
              <w:right w:val="single" w:sz="4" w:space="0" w:color="auto"/>
            </w:tcBorders>
            <w:shd w:val="clear" w:color="auto" w:fill="auto"/>
            <w:noWrap/>
            <w:vAlign w:val="bottom"/>
            <w:hideMark/>
          </w:tcPr>
          <w:p w14:paraId="1B207935" w14:textId="1A67708F" w:rsidR="00FC0600" w:rsidRPr="00A1273E" w:rsidRDefault="00FC0600" w:rsidP="00A1273E">
            <w:pPr>
              <w:spacing w:after="0" w:line="240" w:lineRule="auto"/>
              <w:jc w:val="center"/>
              <w:rPr>
                <w:rFonts w:eastAsia="Times New Roman" w:cs="Calibri"/>
                <w:color w:val="000000"/>
                <w:lang w:eastAsia="es-MX"/>
              </w:rPr>
            </w:pPr>
            <w:r>
              <w:rPr>
                <w:rFonts w:eastAsia="Times New Roman" w:cs="Calibri"/>
                <w:color w:val="000000"/>
                <w:lang w:eastAsia="es-MX"/>
              </w:rPr>
              <w:t>1345</w:t>
            </w:r>
          </w:p>
        </w:tc>
      </w:tr>
    </w:tbl>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5B3A215A" w:rsidR="007D1E76" w:rsidRPr="00E74967" w:rsidRDefault="00CC10F0" w:rsidP="00CB41C4">
      <w:pPr>
        <w:tabs>
          <w:tab w:val="left" w:leader="underscore" w:pos="9639"/>
        </w:tabs>
        <w:spacing w:after="0" w:line="240" w:lineRule="auto"/>
        <w:jc w:val="both"/>
        <w:rPr>
          <w:rFonts w:cs="Calibri"/>
        </w:rPr>
      </w:pPr>
      <w:r w:rsidRPr="00CC10F0">
        <w:rPr>
          <w:rFonts w:cs="Calibri"/>
        </w:rPr>
        <w:t>A la fecha la Universidad no cuenta con fideicomisos, mandatos y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1EE13A" w14:textId="77777777" w:rsidR="00655958" w:rsidRDefault="00655958" w:rsidP="00CB41C4">
      <w:pPr>
        <w:tabs>
          <w:tab w:val="left" w:leader="underscore" w:pos="9639"/>
        </w:tabs>
        <w:spacing w:after="0" w:line="240" w:lineRule="auto"/>
        <w:jc w:val="both"/>
        <w:rPr>
          <w:rFonts w:cs="Calibri"/>
        </w:rPr>
      </w:pPr>
    </w:p>
    <w:p w14:paraId="495B8FFF" w14:textId="2403213D"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0221BF02"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3A96227" w14:textId="77777777" w:rsidR="00655958" w:rsidRPr="00E74967" w:rsidRDefault="00655958" w:rsidP="00CB41C4">
      <w:pPr>
        <w:tabs>
          <w:tab w:val="left" w:leader="underscore" w:pos="9639"/>
        </w:tabs>
        <w:spacing w:after="0" w:line="240" w:lineRule="auto"/>
        <w:jc w:val="both"/>
        <w:rPr>
          <w:rFonts w:cs="Calibri"/>
        </w:rPr>
      </w:pPr>
    </w:p>
    <w:p w14:paraId="1F9EE54B" w14:textId="7427555F" w:rsidR="007D1E76" w:rsidRPr="00E74967" w:rsidRDefault="00655958" w:rsidP="00CB41C4">
      <w:pPr>
        <w:tabs>
          <w:tab w:val="left" w:leader="underscore" w:pos="9639"/>
        </w:tabs>
        <w:spacing w:after="0" w:line="240" w:lineRule="auto"/>
        <w:jc w:val="both"/>
        <w:rPr>
          <w:rFonts w:cs="Calibri"/>
        </w:rPr>
      </w:pPr>
      <w:r w:rsidRPr="00655958">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r>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37D4AAF" w14:textId="77777777" w:rsidR="00655958" w:rsidRPr="00655958" w:rsidRDefault="00655958" w:rsidP="00655958">
      <w:pPr>
        <w:tabs>
          <w:tab w:val="left" w:leader="underscore" w:pos="9639"/>
        </w:tabs>
        <w:spacing w:after="0" w:line="240" w:lineRule="auto"/>
        <w:jc w:val="both"/>
        <w:rPr>
          <w:rFonts w:cs="Calibri"/>
        </w:rPr>
      </w:pPr>
      <w:r w:rsidRPr="00655958">
        <w:rPr>
          <w:rFonts w:cs="Calibri"/>
        </w:rPr>
        <w:t>Las bases de preparación de los Estados Financieros aplican los Postulados Básicos de registro contable incluyendo el devengo del ingreso.</w:t>
      </w:r>
    </w:p>
    <w:p w14:paraId="38A6F929" w14:textId="77777777" w:rsidR="00655958" w:rsidRPr="00655958" w:rsidRDefault="00655958" w:rsidP="00655958">
      <w:pPr>
        <w:tabs>
          <w:tab w:val="left" w:leader="underscore" w:pos="9639"/>
        </w:tabs>
        <w:spacing w:after="0" w:line="240" w:lineRule="auto"/>
        <w:jc w:val="both"/>
        <w:rPr>
          <w:rFonts w:cs="Calibri"/>
        </w:rPr>
      </w:pPr>
    </w:p>
    <w:p w14:paraId="5009A319" w14:textId="2081B0E3" w:rsidR="007D1E76" w:rsidRPr="00E74967" w:rsidRDefault="00655958" w:rsidP="00655958">
      <w:pPr>
        <w:tabs>
          <w:tab w:val="left" w:leader="underscore" w:pos="9639"/>
        </w:tabs>
        <w:spacing w:after="0" w:line="240" w:lineRule="auto"/>
        <w:jc w:val="both"/>
        <w:rPr>
          <w:rFonts w:cs="Calibri"/>
        </w:rPr>
      </w:pPr>
      <w:r w:rsidRPr="00655958">
        <w:rPr>
          <w:rFonts w:cs="Calibri"/>
        </w:rPr>
        <w:t>No se refleja equilibrio presupuestal entre el ingreso y gasto a nivel "Modificado" de Recurso Propio 202</w:t>
      </w:r>
      <w:r>
        <w:rPr>
          <w:rFonts w:cs="Calibri"/>
        </w:rPr>
        <w:t>4</w:t>
      </w:r>
      <w:r w:rsidRPr="00655958">
        <w:rPr>
          <w:rFonts w:cs="Calibri"/>
        </w:rPr>
        <w:t xml:space="preserve"> derivado del cumplimiento con lo señalado en el artículo 41 de los Lineamientos Generales de Racionalidad, Austeridad y Disciplina Presupuestal de la Administración Pública Estatal para el Ejercicio Fiscal del 202</w:t>
      </w:r>
      <w:r>
        <w:rPr>
          <w:rFonts w:cs="Calibri"/>
        </w:rPr>
        <w:t>4.</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91BF2F4" w14:textId="77777777" w:rsidR="00655958" w:rsidRDefault="00655958" w:rsidP="00CB41C4">
      <w:pPr>
        <w:tabs>
          <w:tab w:val="left" w:leader="underscore" w:pos="9639"/>
        </w:tabs>
        <w:spacing w:after="0" w:line="240" w:lineRule="auto"/>
        <w:jc w:val="both"/>
        <w:rPr>
          <w:rFonts w:cs="Calibri"/>
        </w:rPr>
      </w:pPr>
    </w:p>
    <w:p w14:paraId="384678DD" w14:textId="70446C28" w:rsidR="007D1E76" w:rsidRPr="00E74967" w:rsidRDefault="00655958" w:rsidP="00CB41C4">
      <w:pPr>
        <w:tabs>
          <w:tab w:val="left" w:leader="underscore" w:pos="9639"/>
        </w:tabs>
        <w:spacing w:after="0" w:line="240" w:lineRule="auto"/>
        <w:jc w:val="both"/>
        <w:rPr>
          <w:rFonts w:cs="Calibri"/>
        </w:rPr>
      </w:pPr>
      <w:r w:rsidRPr="00655958">
        <w:rPr>
          <w:rFonts w:cs="Calibri"/>
        </w:rPr>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7F040DF"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La Universidad Politécnica del bicentenario trabaja con la base de presupuesto devengado desde su inicio de operaciones en 2011</w:t>
      </w:r>
      <w:r>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0BD37E4" w:rsidR="007D1E76" w:rsidRPr="00E74967" w:rsidRDefault="00876DA1" w:rsidP="004E6309">
      <w:pPr>
        <w:rPr>
          <w:rFonts w:cs="Calibri"/>
        </w:rPr>
      </w:pPr>
      <w:r w:rsidRPr="00876DA1">
        <w:rPr>
          <w:rFonts w:cs="Calibri"/>
        </w:rPr>
        <w:t>Esta nota no le aplica al ente público</w:t>
      </w:r>
      <w:r w:rsidR="004E6309">
        <w:rPr>
          <w:rFonts w:cs="Calibri"/>
        </w:rPr>
        <w:t>, ya que no es una entidad que se esté implementando por primera vez.</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733CFA79" w:rsidR="006F0687" w:rsidRDefault="004E6309" w:rsidP="006F0687">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54913F3C" w14:textId="77777777" w:rsidR="004E6309" w:rsidRDefault="004E6309" w:rsidP="006F0687">
      <w:pPr>
        <w:tabs>
          <w:tab w:val="left" w:leader="underscore" w:pos="9639"/>
        </w:tabs>
        <w:spacing w:after="0" w:line="240" w:lineRule="auto"/>
        <w:jc w:val="both"/>
        <w:rPr>
          <w:rFonts w:cs="Calibri"/>
        </w:rPr>
      </w:pPr>
    </w:p>
    <w:p w14:paraId="71521D40" w14:textId="25A82D8F" w:rsidR="006F0687" w:rsidRPr="00497482" w:rsidRDefault="006F0687" w:rsidP="006F0687">
      <w:pPr>
        <w:tabs>
          <w:tab w:val="left" w:leader="underscore" w:pos="9639"/>
        </w:tabs>
        <w:spacing w:after="0" w:line="240" w:lineRule="auto"/>
        <w:jc w:val="both"/>
        <w:rPr>
          <w:rFonts w:cs="Calibri"/>
        </w:rPr>
      </w:pPr>
      <w:r w:rsidRPr="00497482">
        <w:rPr>
          <w:rFonts w:cs="Calibri"/>
        </w:rPr>
        <w:t>*</w:t>
      </w:r>
      <w:r w:rsidR="00D546B2" w:rsidRPr="00497482">
        <w:rPr>
          <w:rFonts w:cs="Calibri"/>
        </w:rPr>
        <w:t>Presentar los últimos estados financieros con la normatividad anteriormente utilizada con las nuevas políticas para fines de comparación en la transición a la base de devengado.</w:t>
      </w:r>
    </w:p>
    <w:p w14:paraId="158EC49E" w14:textId="2FFDBEF8" w:rsidR="007D1E76" w:rsidRPr="00E74967" w:rsidRDefault="004E6309" w:rsidP="00CB41C4">
      <w:pPr>
        <w:tabs>
          <w:tab w:val="left" w:leader="underscore" w:pos="9639"/>
        </w:tabs>
        <w:spacing w:after="0" w:line="240" w:lineRule="auto"/>
        <w:jc w:val="both"/>
        <w:rPr>
          <w:rFonts w:cs="Calibri"/>
        </w:rPr>
      </w:pPr>
      <w:r w:rsidRPr="00876DA1">
        <w:rPr>
          <w:rFonts w:cs="Calibri"/>
        </w:rPr>
        <w:t>Esta nota no le aplica al ente público</w:t>
      </w:r>
      <w:r>
        <w:rPr>
          <w:rFonts w:cs="Calibri"/>
        </w:rPr>
        <w:t>, ya que no es una entidad que se esté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5A48BF5E" w:rsidR="007D1E76" w:rsidRPr="00E74967" w:rsidRDefault="00655958" w:rsidP="00CB41C4">
      <w:pPr>
        <w:tabs>
          <w:tab w:val="left" w:leader="underscore" w:pos="9639"/>
        </w:tabs>
        <w:spacing w:after="0" w:line="240" w:lineRule="auto"/>
        <w:jc w:val="both"/>
        <w:rPr>
          <w:rFonts w:cs="Calibri"/>
        </w:rPr>
      </w:pPr>
      <w:r w:rsidRPr="00655958">
        <w:rPr>
          <w:rFonts w:cs="Calibri"/>
        </w:rPr>
        <w:t>Los activos se registran a su costo de adquisición.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440DD96E"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137236D7"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inversión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76C5F1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691797A"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cuenta con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681355D"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EBE705" w:rsidR="007D1E76" w:rsidRPr="00E74967" w:rsidRDefault="00655958" w:rsidP="00CB41C4">
      <w:pPr>
        <w:tabs>
          <w:tab w:val="left" w:leader="underscore" w:pos="9639"/>
        </w:tabs>
        <w:spacing w:after="0" w:line="240" w:lineRule="auto"/>
        <w:jc w:val="both"/>
        <w:rPr>
          <w:rFonts w:cs="Calibri"/>
        </w:rPr>
      </w:pPr>
      <w:r w:rsidRPr="00655958">
        <w:rPr>
          <w:rFonts w:cs="Calibri"/>
        </w:rPr>
        <w:lastRenderedPageBreak/>
        <w:t>A la fecha la Universidad no ha realizado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B7473E9"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D8FAB1B" w14:textId="77777777" w:rsidR="00655958" w:rsidRPr="00E74967" w:rsidRDefault="00655958" w:rsidP="00CB41C4">
      <w:pPr>
        <w:tabs>
          <w:tab w:val="left" w:leader="underscore" w:pos="9639"/>
        </w:tabs>
        <w:spacing w:after="0" w:line="240" w:lineRule="auto"/>
        <w:jc w:val="both"/>
        <w:rPr>
          <w:rFonts w:cs="Calibri"/>
        </w:rPr>
      </w:pPr>
    </w:p>
    <w:p w14:paraId="14696C24" w14:textId="229DEEBC" w:rsidR="007D1E76" w:rsidRPr="00E74967" w:rsidRDefault="00655958" w:rsidP="00CB41C4">
      <w:pPr>
        <w:tabs>
          <w:tab w:val="left" w:leader="underscore" w:pos="9639"/>
        </w:tabs>
        <w:spacing w:after="0" w:line="240" w:lineRule="auto"/>
        <w:jc w:val="both"/>
        <w:rPr>
          <w:rFonts w:cs="Calibri"/>
        </w:rPr>
      </w:pPr>
      <w:r w:rsidRPr="00655958">
        <w:rPr>
          <w:rFonts w:cs="Calibri"/>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0635D976"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reclasificaciones por efectos de cambio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7988AA4B"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depuración y cancelación de saldos.</w:t>
      </w:r>
    </w:p>
    <w:p w14:paraId="2D368AF8" w14:textId="77777777" w:rsidR="000A0A9F" w:rsidRPr="00E74967" w:rsidRDefault="000A0A9F"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FF886B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12635E0"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9CC445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14092E3" w:rsidR="007D1E76" w:rsidRPr="00E74967" w:rsidRDefault="00655958" w:rsidP="00CB41C4">
      <w:pPr>
        <w:tabs>
          <w:tab w:val="left" w:leader="underscore" w:pos="9639"/>
        </w:tabs>
        <w:spacing w:after="0" w:line="240" w:lineRule="auto"/>
        <w:jc w:val="both"/>
        <w:rPr>
          <w:rFonts w:cs="Calibri"/>
        </w:rPr>
      </w:pPr>
      <w:r w:rsidRPr="00655958">
        <w:rPr>
          <w:rFonts w:cs="Calibri"/>
        </w:rPr>
        <w:t>A la fecha la Universidad no ha realizado operaciones en moneda extranjera que impliquen el uso de tipos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100F779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porque no ha realizado operaciones en moneda extranjera.</w:t>
      </w:r>
    </w:p>
    <w:p w14:paraId="2089FD10" w14:textId="77777777" w:rsidR="004E6309" w:rsidRPr="00E74967" w:rsidRDefault="004E6309"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3AA48088" w:rsidR="007D1E76" w:rsidRDefault="007D1E76" w:rsidP="00CB41C4">
      <w:pPr>
        <w:tabs>
          <w:tab w:val="left" w:leader="underscore" w:pos="9639"/>
        </w:tabs>
        <w:spacing w:after="0" w:line="240" w:lineRule="auto"/>
        <w:jc w:val="both"/>
        <w:rPr>
          <w:rFonts w:cs="Calibri"/>
        </w:rPr>
      </w:pPr>
    </w:p>
    <w:p w14:paraId="53E3A49E" w14:textId="77777777" w:rsidR="005D3568" w:rsidRPr="00E74967" w:rsidRDefault="005D3568"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33479BE3" w14:textId="77777777" w:rsidR="00E51675"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7E015DE" w14:textId="0B1E9817" w:rsidR="00655958" w:rsidRPr="00E74967" w:rsidRDefault="000E52FF" w:rsidP="00CB41C4">
      <w:pPr>
        <w:tabs>
          <w:tab w:val="left" w:leader="underscore" w:pos="9639"/>
        </w:tabs>
        <w:spacing w:after="0" w:line="240" w:lineRule="auto"/>
        <w:jc w:val="both"/>
        <w:rPr>
          <w:rFonts w:cs="Calibri"/>
        </w:rPr>
      </w:pPr>
      <w:r>
        <w:rPr>
          <w:rFonts w:cs="Calibri"/>
        </w:rPr>
        <w:lastRenderedPageBreak/>
        <w:br w:type="textWrapping" w:clear="all"/>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5604D83" w:rsidR="007D1E76" w:rsidRPr="00E74967" w:rsidRDefault="00655958" w:rsidP="00CB41C4">
      <w:pPr>
        <w:tabs>
          <w:tab w:val="left" w:leader="underscore" w:pos="9639"/>
        </w:tabs>
        <w:spacing w:after="0" w:line="240" w:lineRule="auto"/>
        <w:jc w:val="both"/>
        <w:rPr>
          <w:rFonts w:cs="Calibri"/>
        </w:rPr>
      </w:pPr>
      <w:r w:rsidRPr="00655958">
        <w:rPr>
          <w:rFonts w:cs="Calibri"/>
        </w:rPr>
        <w:t>De conformidad con la norma de CONAC y los alcances del SIHP, actualmente sólo pueden considerarse las 40 clases de activos vigentes.</w:t>
      </w:r>
    </w:p>
    <w:p w14:paraId="59A0596F" w14:textId="6DAB31E7" w:rsidR="007D1E76" w:rsidRDefault="007D1E76" w:rsidP="00CB41C4">
      <w:pPr>
        <w:tabs>
          <w:tab w:val="left" w:leader="underscore" w:pos="9639"/>
        </w:tabs>
        <w:spacing w:after="0" w:line="240" w:lineRule="auto"/>
        <w:jc w:val="both"/>
        <w:rPr>
          <w:rFonts w:cs="Calibri"/>
        </w:rPr>
      </w:pPr>
    </w:p>
    <w:p w14:paraId="5BA64D13" w14:textId="15E7A9F2" w:rsidR="00716EE5" w:rsidRDefault="00716EE5" w:rsidP="00CB41C4">
      <w:pPr>
        <w:tabs>
          <w:tab w:val="left" w:leader="underscore" w:pos="9639"/>
        </w:tabs>
        <w:spacing w:after="0" w:line="240" w:lineRule="auto"/>
        <w:jc w:val="both"/>
        <w:rPr>
          <w:rFonts w:cs="Calibri"/>
        </w:rPr>
      </w:pPr>
    </w:p>
    <w:p w14:paraId="736F6CCC" w14:textId="14ADBDAE" w:rsidR="00716EE5" w:rsidRDefault="00716EE5" w:rsidP="00CB41C4">
      <w:pPr>
        <w:tabs>
          <w:tab w:val="left" w:leader="underscore" w:pos="9639"/>
        </w:tabs>
        <w:spacing w:after="0" w:line="240" w:lineRule="auto"/>
        <w:jc w:val="both"/>
        <w:rPr>
          <w:rFonts w:cs="Calibri"/>
        </w:rPr>
      </w:pPr>
    </w:p>
    <w:p w14:paraId="68528184" w14:textId="403FA5D5" w:rsidR="00716EE5" w:rsidRDefault="00716EE5" w:rsidP="00CB41C4">
      <w:pPr>
        <w:tabs>
          <w:tab w:val="left" w:leader="underscore" w:pos="9639"/>
        </w:tabs>
        <w:spacing w:after="0" w:line="240" w:lineRule="auto"/>
        <w:jc w:val="both"/>
        <w:rPr>
          <w:rFonts w:cs="Calibri"/>
        </w:rPr>
      </w:pPr>
    </w:p>
    <w:p w14:paraId="64C9A00A" w14:textId="260D7A4C" w:rsidR="00716EE5" w:rsidRDefault="00716EE5" w:rsidP="00CB41C4">
      <w:pPr>
        <w:tabs>
          <w:tab w:val="left" w:leader="underscore" w:pos="9639"/>
        </w:tabs>
        <w:spacing w:after="0" w:line="240" w:lineRule="auto"/>
        <w:jc w:val="both"/>
        <w:rPr>
          <w:rFonts w:cs="Calibri"/>
        </w:rPr>
      </w:pPr>
    </w:p>
    <w:p w14:paraId="6E198734" w14:textId="6464CEAC" w:rsidR="00716EE5" w:rsidRDefault="00716EE5" w:rsidP="00CB41C4">
      <w:pPr>
        <w:tabs>
          <w:tab w:val="left" w:leader="underscore" w:pos="9639"/>
        </w:tabs>
        <w:spacing w:after="0" w:line="240" w:lineRule="auto"/>
        <w:jc w:val="both"/>
        <w:rPr>
          <w:rFonts w:cs="Calibri"/>
        </w:rPr>
      </w:pPr>
    </w:p>
    <w:p w14:paraId="0A599533" w14:textId="29BD6A8B" w:rsidR="00716EE5" w:rsidRDefault="00716EE5" w:rsidP="00CB41C4">
      <w:pPr>
        <w:tabs>
          <w:tab w:val="left" w:leader="underscore" w:pos="9639"/>
        </w:tabs>
        <w:spacing w:after="0" w:line="240" w:lineRule="auto"/>
        <w:jc w:val="both"/>
        <w:rPr>
          <w:rFonts w:cs="Calibri"/>
        </w:rPr>
      </w:pPr>
    </w:p>
    <w:p w14:paraId="62AD25FE" w14:textId="279776C3" w:rsidR="00716EE5" w:rsidRDefault="00716EE5" w:rsidP="00CB41C4">
      <w:pPr>
        <w:tabs>
          <w:tab w:val="left" w:leader="underscore" w:pos="9639"/>
        </w:tabs>
        <w:spacing w:after="0" w:line="240" w:lineRule="auto"/>
        <w:jc w:val="both"/>
        <w:rPr>
          <w:rFonts w:cs="Calibri"/>
        </w:rPr>
      </w:pPr>
    </w:p>
    <w:p w14:paraId="78B3E97C" w14:textId="2911214D" w:rsidR="00716EE5" w:rsidRDefault="00716EE5" w:rsidP="00CB41C4">
      <w:pPr>
        <w:tabs>
          <w:tab w:val="left" w:leader="underscore" w:pos="9639"/>
        </w:tabs>
        <w:spacing w:after="0" w:line="240" w:lineRule="auto"/>
        <w:jc w:val="both"/>
        <w:rPr>
          <w:rFonts w:cs="Calibri"/>
        </w:rPr>
      </w:pPr>
    </w:p>
    <w:p w14:paraId="11374624" w14:textId="108A8B47" w:rsidR="00716EE5" w:rsidRDefault="00716EE5" w:rsidP="00CB41C4">
      <w:pPr>
        <w:tabs>
          <w:tab w:val="left" w:leader="underscore" w:pos="9639"/>
        </w:tabs>
        <w:spacing w:after="0" w:line="240" w:lineRule="auto"/>
        <w:jc w:val="both"/>
        <w:rPr>
          <w:rFonts w:cs="Calibri"/>
        </w:rPr>
      </w:pPr>
    </w:p>
    <w:p w14:paraId="2E0DDF1D" w14:textId="6535177A" w:rsidR="00716EE5" w:rsidRDefault="00716EE5" w:rsidP="00CB41C4">
      <w:pPr>
        <w:tabs>
          <w:tab w:val="left" w:leader="underscore" w:pos="9639"/>
        </w:tabs>
        <w:spacing w:after="0" w:line="240" w:lineRule="auto"/>
        <w:jc w:val="both"/>
        <w:rPr>
          <w:rFonts w:cs="Calibri"/>
        </w:rPr>
      </w:pPr>
    </w:p>
    <w:p w14:paraId="40D28926" w14:textId="67E44ADF" w:rsidR="00716EE5" w:rsidRDefault="00716EE5" w:rsidP="00CB41C4">
      <w:pPr>
        <w:tabs>
          <w:tab w:val="left" w:leader="underscore" w:pos="9639"/>
        </w:tabs>
        <w:spacing w:after="0" w:line="240" w:lineRule="auto"/>
        <w:jc w:val="both"/>
        <w:rPr>
          <w:rFonts w:cs="Calibri"/>
        </w:rPr>
      </w:pPr>
    </w:p>
    <w:p w14:paraId="3C194592" w14:textId="308ED5D8" w:rsidR="00716EE5" w:rsidRDefault="00716EE5" w:rsidP="00CB41C4">
      <w:pPr>
        <w:tabs>
          <w:tab w:val="left" w:leader="underscore" w:pos="9639"/>
        </w:tabs>
        <w:spacing w:after="0" w:line="240" w:lineRule="auto"/>
        <w:jc w:val="both"/>
        <w:rPr>
          <w:rFonts w:cs="Calibri"/>
        </w:rPr>
      </w:pPr>
    </w:p>
    <w:p w14:paraId="72AE9735" w14:textId="2EEBC0FE" w:rsidR="00716EE5" w:rsidRDefault="00716EE5" w:rsidP="00CB41C4">
      <w:pPr>
        <w:tabs>
          <w:tab w:val="left" w:leader="underscore" w:pos="9639"/>
        </w:tabs>
        <w:spacing w:after="0" w:line="240" w:lineRule="auto"/>
        <w:jc w:val="both"/>
        <w:rPr>
          <w:rFonts w:cs="Calibri"/>
        </w:rPr>
      </w:pPr>
    </w:p>
    <w:p w14:paraId="2557AA1D" w14:textId="2F25EC35" w:rsidR="00716EE5" w:rsidRDefault="00716EE5" w:rsidP="00CB41C4">
      <w:pPr>
        <w:tabs>
          <w:tab w:val="left" w:leader="underscore" w:pos="9639"/>
        </w:tabs>
        <w:spacing w:after="0" w:line="240" w:lineRule="auto"/>
        <w:jc w:val="both"/>
        <w:rPr>
          <w:rFonts w:cs="Calibri"/>
        </w:rPr>
      </w:pPr>
    </w:p>
    <w:p w14:paraId="5CE386A4" w14:textId="1FB1362B" w:rsidR="00716EE5" w:rsidRDefault="00716EE5" w:rsidP="00CB41C4">
      <w:pPr>
        <w:tabs>
          <w:tab w:val="left" w:leader="underscore" w:pos="9639"/>
        </w:tabs>
        <w:spacing w:after="0" w:line="240" w:lineRule="auto"/>
        <w:jc w:val="both"/>
        <w:rPr>
          <w:rFonts w:cs="Calibri"/>
        </w:rPr>
      </w:pPr>
    </w:p>
    <w:p w14:paraId="6C77DB5F" w14:textId="4D27BDDA" w:rsidR="00716EE5" w:rsidRDefault="00716EE5" w:rsidP="00CB41C4">
      <w:pPr>
        <w:tabs>
          <w:tab w:val="left" w:leader="underscore" w:pos="9639"/>
        </w:tabs>
        <w:spacing w:after="0" w:line="240" w:lineRule="auto"/>
        <w:jc w:val="both"/>
        <w:rPr>
          <w:rFonts w:cs="Calibri"/>
        </w:rPr>
      </w:pPr>
    </w:p>
    <w:p w14:paraId="08AB353B" w14:textId="2B25D487" w:rsidR="00716EE5" w:rsidRDefault="00716EE5" w:rsidP="00CB41C4">
      <w:pPr>
        <w:tabs>
          <w:tab w:val="left" w:leader="underscore" w:pos="9639"/>
        </w:tabs>
        <w:spacing w:after="0" w:line="240" w:lineRule="auto"/>
        <w:jc w:val="both"/>
        <w:rPr>
          <w:rFonts w:cs="Calibri"/>
        </w:rPr>
      </w:pPr>
    </w:p>
    <w:p w14:paraId="65570C71" w14:textId="57853D3E" w:rsidR="00716EE5" w:rsidRDefault="00716EE5" w:rsidP="00CB41C4">
      <w:pPr>
        <w:tabs>
          <w:tab w:val="left" w:leader="underscore" w:pos="9639"/>
        </w:tabs>
        <w:spacing w:after="0" w:line="240" w:lineRule="auto"/>
        <w:jc w:val="both"/>
        <w:rPr>
          <w:rFonts w:cs="Calibri"/>
        </w:rPr>
      </w:pPr>
    </w:p>
    <w:p w14:paraId="2D8B4678" w14:textId="531B465B" w:rsidR="00716EE5" w:rsidRDefault="00716EE5" w:rsidP="00CB41C4">
      <w:pPr>
        <w:tabs>
          <w:tab w:val="left" w:leader="underscore" w:pos="9639"/>
        </w:tabs>
        <w:spacing w:after="0" w:line="240" w:lineRule="auto"/>
        <w:jc w:val="both"/>
        <w:rPr>
          <w:rFonts w:cs="Calibri"/>
        </w:rPr>
      </w:pPr>
    </w:p>
    <w:p w14:paraId="5866E5F4" w14:textId="7E9093C2" w:rsidR="00716EE5" w:rsidRDefault="00716EE5" w:rsidP="00CB41C4">
      <w:pPr>
        <w:tabs>
          <w:tab w:val="left" w:leader="underscore" w:pos="9639"/>
        </w:tabs>
        <w:spacing w:after="0" w:line="240" w:lineRule="auto"/>
        <w:jc w:val="both"/>
        <w:rPr>
          <w:rFonts w:cs="Calibri"/>
        </w:rPr>
      </w:pPr>
    </w:p>
    <w:p w14:paraId="0B817CAE" w14:textId="0198D4CA" w:rsidR="00716EE5" w:rsidRDefault="00716EE5" w:rsidP="00CB41C4">
      <w:pPr>
        <w:tabs>
          <w:tab w:val="left" w:leader="underscore" w:pos="9639"/>
        </w:tabs>
        <w:spacing w:after="0" w:line="240" w:lineRule="auto"/>
        <w:jc w:val="both"/>
        <w:rPr>
          <w:rFonts w:cs="Calibri"/>
        </w:rPr>
      </w:pPr>
    </w:p>
    <w:p w14:paraId="5F27F7FD" w14:textId="1B617E01" w:rsidR="00716EE5" w:rsidRDefault="00716EE5" w:rsidP="00CB41C4">
      <w:pPr>
        <w:tabs>
          <w:tab w:val="left" w:leader="underscore" w:pos="9639"/>
        </w:tabs>
        <w:spacing w:after="0" w:line="240" w:lineRule="auto"/>
        <w:jc w:val="both"/>
        <w:rPr>
          <w:rFonts w:cs="Calibri"/>
        </w:rPr>
      </w:pPr>
    </w:p>
    <w:p w14:paraId="062BAA2F" w14:textId="542C7AEE" w:rsidR="00716EE5" w:rsidRDefault="00716EE5" w:rsidP="00CB41C4">
      <w:pPr>
        <w:tabs>
          <w:tab w:val="left" w:leader="underscore" w:pos="9639"/>
        </w:tabs>
        <w:spacing w:after="0" w:line="240" w:lineRule="auto"/>
        <w:jc w:val="both"/>
        <w:rPr>
          <w:rFonts w:cs="Calibri"/>
        </w:rPr>
      </w:pPr>
    </w:p>
    <w:p w14:paraId="4974DC98" w14:textId="233F8EC9" w:rsidR="00716EE5" w:rsidRDefault="00716EE5" w:rsidP="00CB41C4">
      <w:pPr>
        <w:tabs>
          <w:tab w:val="left" w:leader="underscore" w:pos="9639"/>
        </w:tabs>
        <w:spacing w:after="0" w:line="240" w:lineRule="auto"/>
        <w:jc w:val="both"/>
        <w:rPr>
          <w:rFonts w:cs="Calibri"/>
        </w:rPr>
      </w:pPr>
    </w:p>
    <w:p w14:paraId="58556725" w14:textId="77777777" w:rsidR="00716EE5" w:rsidRPr="00E74967" w:rsidRDefault="00716EE5" w:rsidP="00CB41C4">
      <w:pPr>
        <w:tabs>
          <w:tab w:val="left" w:leader="underscore" w:pos="9639"/>
        </w:tabs>
        <w:spacing w:after="0" w:line="240" w:lineRule="auto"/>
        <w:jc w:val="both"/>
        <w:rPr>
          <w:rFonts w:cs="Calibri"/>
        </w:rPr>
      </w:pPr>
    </w:p>
    <w:p w14:paraId="7793D355" w14:textId="2FBD712A" w:rsidR="007D1E76" w:rsidRPr="00E74967" w:rsidRDefault="00716EE5" w:rsidP="00CB41C4">
      <w:pPr>
        <w:tabs>
          <w:tab w:val="left" w:leader="underscore" w:pos="9639"/>
        </w:tabs>
        <w:spacing w:after="0" w:line="240" w:lineRule="auto"/>
        <w:jc w:val="both"/>
        <w:rPr>
          <w:rFonts w:cs="Calibri"/>
        </w:rPr>
      </w:pPr>
      <w:r>
        <w:rPr>
          <w:noProof/>
        </w:rPr>
        <w:drawing>
          <wp:anchor distT="0" distB="0" distL="114300" distR="114300" simplePos="0" relativeHeight="251666432" behindDoc="0" locked="0" layoutInCell="1" allowOverlap="1" wp14:anchorId="3A558E7B" wp14:editId="11AB24B0">
            <wp:simplePos x="0" y="0"/>
            <wp:positionH relativeFrom="margin">
              <wp:align>left</wp:align>
            </wp:positionH>
            <wp:positionV relativeFrom="margin">
              <wp:posOffset>1209040</wp:posOffset>
            </wp:positionV>
            <wp:extent cx="5457825" cy="4086225"/>
            <wp:effectExtent l="0" t="0" r="952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57825" cy="4086225"/>
                    </a:xfrm>
                    <a:prstGeom prst="rect">
                      <a:avLst/>
                    </a:prstGeom>
                  </pic:spPr>
                </pic:pic>
              </a:graphicData>
            </a:graphic>
          </wp:anchor>
        </w:drawing>
      </w:r>
      <w:r w:rsidR="007D1E76" w:rsidRPr="00E74967">
        <w:rPr>
          <w:rFonts w:cs="Calibri"/>
          <w:b/>
        </w:rPr>
        <w:t>c)</w:t>
      </w:r>
      <w:r w:rsidR="007D1E76" w:rsidRPr="00E74967">
        <w:rPr>
          <w:rFonts w:cs="Calibri"/>
        </w:rPr>
        <w:t xml:space="preserve"> Importe de los gastos capitalizados en el ejercicio, tanto financieros como de investigación y desarrollo:</w:t>
      </w:r>
    </w:p>
    <w:p w14:paraId="7D1F662D" w14:textId="0BDF2E4F" w:rsidR="007D1E76" w:rsidRPr="00E74967" w:rsidRDefault="00655958" w:rsidP="00CB41C4">
      <w:pPr>
        <w:tabs>
          <w:tab w:val="left" w:leader="underscore" w:pos="9639"/>
        </w:tabs>
        <w:spacing w:after="0" w:line="240" w:lineRule="auto"/>
        <w:jc w:val="both"/>
        <w:rPr>
          <w:rFonts w:cs="Calibri"/>
        </w:rPr>
      </w:pPr>
      <w:r w:rsidRPr="00655958">
        <w:rPr>
          <w:rFonts w:cs="Calibri"/>
        </w:rPr>
        <w:t>Capitalización de activo fijo cuenta de patrimonio</w:t>
      </w:r>
      <w:r>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5FD2F86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maneja tipo de cambio en las inversiones financieras. </w:t>
      </w:r>
    </w:p>
    <w:p w14:paraId="22AB6CF0" w14:textId="77777777" w:rsidR="004E6309" w:rsidRPr="00E74967" w:rsidRDefault="004E6309"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6DE872CE"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es aplicable el valor activado de los bienes construidos. </w:t>
      </w:r>
    </w:p>
    <w:p w14:paraId="2E17CB0A" w14:textId="4390080B"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F41DE90"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entran otras circunstancias significativas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143593DD" w:rsidR="007D1E76" w:rsidRPr="00E74967" w:rsidRDefault="004E6309" w:rsidP="00CB41C4">
      <w:pPr>
        <w:tabs>
          <w:tab w:val="left" w:leader="underscore" w:pos="9639"/>
        </w:tabs>
        <w:spacing w:after="0" w:line="240" w:lineRule="auto"/>
        <w:jc w:val="both"/>
        <w:rPr>
          <w:rFonts w:cs="Calibri"/>
        </w:rPr>
      </w:pPr>
      <w:r w:rsidRPr="004E6309">
        <w:rPr>
          <w:rFonts w:cs="Calibri"/>
        </w:rPr>
        <w:lastRenderedPageBreak/>
        <w:t>Esta nota no le aplica al ente público</w:t>
      </w:r>
      <w:r>
        <w:rPr>
          <w:rFonts w:cs="Calibri"/>
        </w:rPr>
        <w:t xml:space="preserve">, no existe implicaciones o efectos a activos.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5B6D90D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público</w:t>
      </w:r>
      <w:r>
        <w:rPr>
          <w:rFonts w:cs="Calibri"/>
        </w:rPr>
        <w:t xml:space="preserve">, no aplica la planeación de activos.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5CAA3876"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hay inversiones en valores. </w:t>
      </w:r>
    </w:p>
    <w:p w14:paraId="14902422" w14:textId="77777777" w:rsidR="004E6309" w:rsidRPr="00E74967" w:rsidRDefault="004E6309"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5387586C"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1C1FF57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65CEDCDA"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mayoritaria.</w:t>
      </w:r>
    </w:p>
    <w:p w14:paraId="7A35042A" w14:textId="77777777" w:rsidR="004E6309" w:rsidRPr="00E74967" w:rsidRDefault="004E63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4CB34CEF" w:rsidR="007D1E76"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o, en inversiones en empresas de participación minoritaria.</w:t>
      </w:r>
    </w:p>
    <w:p w14:paraId="4F88E239" w14:textId="77777777" w:rsidR="004E6309" w:rsidRPr="00E74967" w:rsidRDefault="004E6309"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59B39B4" w:rsidR="007D1E76" w:rsidRPr="00E74967" w:rsidRDefault="00497482" w:rsidP="00CB41C4">
      <w:pPr>
        <w:tabs>
          <w:tab w:val="left" w:leader="underscore" w:pos="9639"/>
        </w:tabs>
        <w:spacing w:after="0" w:line="240" w:lineRule="auto"/>
        <w:jc w:val="both"/>
        <w:rPr>
          <w:rFonts w:cs="Calibri"/>
        </w:rPr>
      </w:pPr>
      <w:r w:rsidRPr="00497482">
        <w:rPr>
          <w:rFonts w:cs="Calibri"/>
        </w:rPr>
        <w:t>Tabla de bienes muebles e inmuebles comparativos</w:t>
      </w:r>
      <w:r>
        <w:rPr>
          <w:rFonts w:cs="Calibri"/>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E32C11D" w:rsidR="007D1E76" w:rsidRPr="00E74967" w:rsidRDefault="004E6309" w:rsidP="00CB41C4">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41B3CFD" w14:textId="5011CC56" w:rsidR="004E6309" w:rsidRDefault="004E6309" w:rsidP="004E6309">
      <w:pPr>
        <w:tabs>
          <w:tab w:val="left" w:leader="underscore" w:pos="9639"/>
        </w:tabs>
        <w:spacing w:after="0" w:line="240" w:lineRule="auto"/>
        <w:jc w:val="both"/>
        <w:rPr>
          <w:rFonts w:cs="Calibri"/>
        </w:rPr>
      </w:pPr>
      <w:r w:rsidRPr="004E6309">
        <w:rPr>
          <w:rFonts w:cs="Calibri"/>
        </w:rPr>
        <w:t>Esta nota no le aplica al ente públic</w:t>
      </w:r>
      <w:r>
        <w:rPr>
          <w:rFonts w:cs="Calibri"/>
        </w:rPr>
        <w:t xml:space="preserve">o, no existe fideicomisos a informar.  </w:t>
      </w:r>
    </w:p>
    <w:p w14:paraId="5AE57259" w14:textId="1CAA0324" w:rsidR="007D1E76" w:rsidRDefault="007D1E76" w:rsidP="00CB41C4">
      <w:pPr>
        <w:tabs>
          <w:tab w:val="left" w:leader="underscore" w:pos="9639"/>
        </w:tabs>
        <w:spacing w:after="0" w:line="240" w:lineRule="auto"/>
        <w:jc w:val="both"/>
        <w:rPr>
          <w:rFonts w:cs="Calibri"/>
        </w:rPr>
      </w:pPr>
    </w:p>
    <w:p w14:paraId="52678427" w14:textId="5F62E423" w:rsidR="00E51675" w:rsidRDefault="00E51675" w:rsidP="00CB41C4">
      <w:pPr>
        <w:tabs>
          <w:tab w:val="left" w:leader="underscore" w:pos="9639"/>
        </w:tabs>
        <w:spacing w:after="0" w:line="240" w:lineRule="auto"/>
        <w:jc w:val="both"/>
        <w:rPr>
          <w:rFonts w:cs="Calibri"/>
        </w:rPr>
      </w:pPr>
    </w:p>
    <w:p w14:paraId="6FD6E98E" w14:textId="22CADA6F" w:rsidR="00716EE5" w:rsidRDefault="00716EE5" w:rsidP="00CB41C4">
      <w:pPr>
        <w:tabs>
          <w:tab w:val="left" w:leader="underscore" w:pos="9639"/>
        </w:tabs>
        <w:spacing w:after="0" w:line="240" w:lineRule="auto"/>
        <w:jc w:val="both"/>
        <w:rPr>
          <w:rFonts w:cs="Calibri"/>
        </w:rPr>
      </w:pPr>
    </w:p>
    <w:p w14:paraId="5B2A92E3" w14:textId="17CD2AAD" w:rsidR="00716EE5" w:rsidRDefault="00716EE5" w:rsidP="00CB41C4">
      <w:pPr>
        <w:tabs>
          <w:tab w:val="left" w:leader="underscore" w:pos="9639"/>
        </w:tabs>
        <w:spacing w:after="0" w:line="240" w:lineRule="auto"/>
        <w:jc w:val="both"/>
        <w:rPr>
          <w:rFonts w:cs="Calibri"/>
        </w:rPr>
      </w:pPr>
    </w:p>
    <w:p w14:paraId="34EAE7F2" w14:textId="4558FE6E" w:rsidR="00716EE5" w:rsidRDefault="00716EE5" w:rsidP="00CB41C4">
      <w:pPr>
        <w:tabs>
          <w:tab w:val="left" w:leader="underscore" w:pos="9639"/>
        </w:tabs>
        <w:spacing w:after="0" w:line="240" w:lineRule="auto"/>
        <w:jc w:val="both"/>
        <w:rPr>
          <w:rFonts w:cs="Calibri"/>
        </w:rPr>
      </w:pPr>
    </w:p>
    <w:p w14:paraId="02259223" w14:textId="1F241B87" w:rsidR="00716EE5" w:rsidRDefault="00716EE5" w:rsidP="00CB41C4">
      <w:pPr>
        <w:tabs>
          <w:tab w:val="left" w:leader="underscore" w:pos="9639"/>
        </w:tabs>
        <w:spacing w:after="0" w:line="240" w:lineRule="auto"/>
        <w:jc w:val="both"/>
        <w:rPr>
          <w:rFonts w:cs="Calibri"/>
        </w:rPr>
      </w:pPr>
    </w:p>
    <w:p w14:paraId="4740CDB4" w14:textId="07838300" w:rsidR="00716EE5" w:rsidRDefault="00716EE5" w:rsidP="00CB41C4">
      <w:pPr>
        <w:tabs>
          <w:tab w:val="left" w:leader="underscore" w:pos="9639"/>
        </w:tabs>
        <w:spacing w:after="0" w:line="240" w:lineRule="auto"/>
        <w:jc w:val="both"/>
        <w:rPr>
          <w:rFonts w:cs="Calibri"/>
        </w:rPr>
      </w:pPr>
    </w:p>
    <w:p w14:paraId="5B4542FB" w14:textId="1175ABB6" w:rsidR="00716EE5" w:rsidRDefault="00716EE5" w:rsidP="00CB41C4">
      <w:pPr>
        <w:tabs>
          <w:tab w:val="left" w:leader="underscore" w:pos="9639"/>
        </w:tabs>
        <w:spacing w:after="0" w:line="240" w:lineRule="auto"/>
        <w:jc w:val="both"/>
        <w:rPr>
          <w:rFonts w:cs="Calibri"/>
        </w:rPr>
      </w:pPr>
    </w:p>
    <w:p w14:paraId="6A491166" w14:textId="2D7B631B" w:rsidR="00716EE5" w:rsidRDefault="00716EE5" w:rsidP="00CB41C4">
      <w:pPr>
        <w:tabs>
          <w:tab w:val="left" w:leader="underscore" w:pos="9639"/>
        </w:tabs>
        <w:spacing w:after="0" w:line="240" w:lineRule="auto"/>
        <w:jc w:val="both"/>
        <w:rPr>
          <w:rFonts w:cs="Calibri"/>
        </w:rPr>
      </w:pPr>
    </w:p>
    <w:p w14:paraId="7195C75E" w14:textId="1EAB0100" w:rsidR="00716EE5" w:rsidRDefault="00716EE5" w:rsidP="00CB41C4">
      <w:pPr>
        <w:tabs>
          <w:tab w:val="left" w:leader="underscore" w:pos="9639"/>
        </w:tabs>
        <w:spacing w:after="0" w:line="240" w:lineRule="auto"/>
        <w:jc w:val="both"/>
        <w:rPr>
          <w:rFonts w:cs="Calibri"/>
        </w:rPr>
      </w:pPr>
    </w:p>
    <w:p w14:paraId="21522336" w14:textId="1EBB30AD" w:rsidR="00716EE5" w:rsidRDefault="00716EE5" w:rsidP="00CB41C4">
      <w:pPr>
        <w:tabs>
          <w:tab w:val="left" w:leader="underscore" w:pos="9639"/>
        </w:tabs>
        <w:spacing w:after="0" w:line="240" w:lineRule="auto"/>
        <w:jc w:val="both"/>
        <w:rPr>
          <w:rFonts w:cs="Calibri"/>
        </w:rPr>
      </w:pPr>
    </w:p>
    <w:p w14:paraId="0E472AB4" w14:textId="03A8AC99" w:rsidR="00716EE5" w:rsidRDefault="00716EE5" w:rsidP="00CB41C4">
      <w:pPr>
        <w:tabs>
          <w:tab w:val="left" w:leader="underscore" w:pos="9639"/>
        </w:tabs>
        <w:spacing w:after="0" w:line="240" w:lineRule="auto"/>
        <w:jc w:val="both"/>
        <w:rPr>
          <w:rFonts w:cs="Calibri"/>
        </w:rPr>
      </w:pPr>
    </w:p>
    <w:p w14:paraId="78F22958" w14:textId="77777777" w:rsidR="00716EE5" w:rsidRPr="00E74967" w:rsidRDefault="00716EE5"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7771E8CD" w14:textId="124D1487" w:rsidR="004C7093" w:rsidRDefault="006F01EB" w:rsidP="00CB41C4">
      <w:pPr>
        <w:tabs>
          <w:tab w:val="left" w:leader="underscore" w:pos="9639"/>
        </w:tabs>
        <w:spacing w:after="0" w:line="240" w:lineRule="auto"/>
        <w:jc w:val="both"/>
        <w:rPr>
          <w:rFonts w:cs="Calibri"/>
        </w:rPr>
      </w:pPr>
      <w:r>
        <w:rPr>
          <w:noProof/>
        </w:rPr>
        <w:drawing>
          <wp:anchor distT="0" distB="0" distL="114300" distR="114300" simplePos="0" relativeHeight="251676672" behindDoc="0" locked="0" layoutInCell="1" allowOverlap="1" wp14:anchorId="256B657C" wp14:editId="32194C72">
            <wp:simplePos x="0" y="0"/>
            <wp:positionH relativeFrom="margin">
              <wp:align>center</wp:align>
            </wp:positionH>
            <wp:positionV relativeFrom="margin">
              <wp:posOffset>708660</wp:posOffset>
            </wp:positionV>
            <wp:extent cx="7029450" cy="47536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029450" cy="4753610"/>
                    </a:xfrm>
                    <a:prstGeom prst="rect">
                      <a:avLst/>
                    </a:prstGeom>
                  </pic:spPr>
                </pic:pic>
              </a:graphicData>
            </a:graphic>
            <wp14:sizeRelH relativeFrom="margin">
              <wp14:pctWidth>0</wp14:pctWidth>
            </wp14:sizeRelH>
            <wp14:sizeRelV relativeFrom="margin">
              <wp14:pctHeight>0</wp14:pctHeight>
            </wp14:sizeRelV>
          </wp:anchor>
        </w:drawing>
      </w:r>
      <w:r w:rsidR="007D1E76" w:rsidRPr="001E0EE0">
        <w:rPr>
          <w:rFonts w:cs="Calibri"/>
          <w:b/>
        </w:rPr>
        <w:t>a)</w:t>
      </w:r>
      <w:r w:rsidR="007D1E76" w:rsidRPr="001E0EE0">
        <w:rPr>
          <w:rFonts w:cs="Calibri"/>
        </w:rPr>
        <w:t xml:space="preserve"> Análisis del comportamiento de la recaudación correspondiente al ente público o cualquier tipo de ingreso, de forma separada los ingresos locales de los federales:</w:t>
      </w:r>
    </w:p>
    <w:p w14:paraId="0B6875BD" w14:textId="4357E0E9" w:rsidR="00A36AC2" w:rsidRDefault="00A36AC2" w:rsidP="00CB41C4">
      <w:pPr>
        <w:tabs>
          <w:tab w:val="left" w:leader="underscore" w:pos="9639"/>
        </w:tabs>
        <w:spacing w:after="0" w:line="240" w:lineRule="auto"/>
        <w:jc w:val="both"/>
        <w:rPr>
          <w:rFonts w:cs="Calibri"/>
        </w:rPr>
      </w:pPr>
    </w:p>
    <w:p w14:paraId="6FBAAA71" w14:textId="637B753A" w:rsidR="00A36AC2" w:rsidRDefault="00A36AC2" w:rsidP="00CB41C4">
      <w:pPr>
        <w:tabs>
          <w:tab w:val="left" w:leader="underscore" w:pos="9639"/>
        </w:tabs>
        <w:spacing w:after="0" w:line="240" w:lineRule="auto"/>
        <w:jc w:val="both"/>
        <w:rPr>
          <w:rFonts w:cs="Calibri"/>
        </w:rPr>
      </w:pPr>
    </w:p>
    <w:p w14:paraId="450628A6" w14:textId="304E841A" w:rsidR="006F01EB" w:rsidRDefault="006F01EB" w:rsidP="00CB41C4">
      <w:pPr>
        <w:tabs>
          <w:tab w:val="left" w:leader="underscore" w:pos="9639"/>
        </w:tabs>
        <w:spacing w:after="0" w:line="240" w:lineRule="auto"/>
        <w:jc w:val="both"/>
        <w:rPr>
          <w:rFonts w:cs="Calibri"/>
        </w:rPr>
      </w:pPr>
    </w:p>
    <w:p w14:paraId="679316E0" w14:textId="1592F8B4" w:rsidR="006F01EB" w:rsidRDefault="006F01EB" w:rsidP="00CB41C4">
      <w:pPr>
        <w:tabs>
          <w:tab w:val="left" w:leader="underscore" w:pos="9639"/>
        </w:tabs>
        <w:spacing w:after="0" w:line="240" w:lineRule="auto"/>
        <w:jc w:val="both"/>
        <w:rPr>
          <w:rFonts w:cs="Calibri"/>
        </w:rPr>
      </w:pPr>
    </w:p>
    <w:p w14:paraId="3420A28C" w14:textId="6308ACC0" w:rsidR="006F01EB" w:rsidRDefault="006F01EB" w:rsidP="00CB41C4">
      <w:pPr>
        <w:tabs>
          <w:tab w:val="left" w:leader="underscore" w:pos="9639"/>
        </w:tabs>
        <w:spacing w:after="0" w:line="240" w:lineRule="auto"/>
        <w:jc w:val="both"/>
        <w:rPr>
          <w:rFonts w:cs="Calibri"/>
        </w:rPr>
      </w:pPr>
    </w:p>
    <w:p w14:paraId="5ED81E0F" w14:textId="24061D43" w:rsidR="006F01EB" w:rsidRDefault="006F01EB" w:rsidP="00CB41C4">
      <w:pPr>
        <w:tabs>
          <w:tab w:val="left" w:leader="underscore" w:pos="9639"/>
        </w:tabs>
        <w:spacing w:after="0" w:line="240" w:lineRule="auto"/>
        <w:jc w:val="both"/>
        <w:rPr>
          <w:rFonts w:cs="Calibri"/>
        </w:rPr>
      </w:pPr>
    </w:p>
    <w:p w14:paraId="199D57D4" w14:textId="31326E05" w:rsidR="006F01EB" w:rsidRDefault="006F01EB" w:rsidP="00CB41C4">
      <w:pPr>
        <w:tabs>
          <w:tab w:val="left" w:leader="underscore" w:pos="9639"/>
        </w:tabs>
        <w:spacing w:after="0" w:line="240" w:lineRule="auto"/>
        <w:jc w:val="both"/>
        <w:rPr>
          <w:rFonts w:cs="Calibri"/>
        </w:rPr>
      </w:pPr>
    </w:p>
    <w:p w14:paraId="42F85927" w14:textId="4C8103B6" w:rsidR="006F01EB" w:rsidRDefault="006F01EB" w:rsidP="00CB41C4">
      <w:pPr>
        <w:tabs>
          <w:tab w:val="left" w:leader="underscore" w:pos="9639"/>
        </w:tabs>
        <w:spacing w:after="0" w:line="240" w:lineRule="auto"/>
        <w:jc w:val="both"/>
        <w:rPr>
          <w:rFonts w:cs="Calibri"/>
        </w:rPr>
      </w:pPr>
    </w:p>
    <w:p w14:paraId="0C782F18" w14:textId="79B35440" w:rsidR="006F01EB" w:rsidRDefault="006F01EB" w:rsidP="00CB41C4">
      <w:pPr>
        <w:tabs>
          <w:tab w:val="left" w:leader="underscore" w:pos="9639"/>
        </w:tabs>
        <w:spacing w:after="0" w:line="240" w:lineRule="auto"/>
        <w:jc w:val="both"/>
        <w:rPr>
          <w:rFonts w:cs="Calibri"/>
        </w:rPr>
      </w:pPr>
    </w:p>
    <w:p w14:paraId="6FB425B7" w14:textId="6D17D118" w:rsidR="006F01EB" w:rsidRDefault="006F01EB" w:rsidP="00CB41C4">
      <w:pPr>
        <w:tabs>
          <w:tab w:val="left" w:leader="underscore" w:pos="9639"/>
        </w:tabs>
        <w:spacing w:after="0" w:line="240" w:lineRule="auto"/>
        <w:jc w:val="both"/>
        <w:rPr>
          <w:rFonts w:cs="Calibri"/>
        </w:rPr>
      </w:pPr>
    </w:p>
    <w:p w14:paraId="45BD6A0C" w14:textId="0E9A3098" w:rsidR="006F01EB" w:rsidRDefault="006F01EB" w:rsidP="00CB41C4">
      <w:pPr>
        <w:tabs>
          <w:tab w:val="left" w:leader="underscore" w:pos="9639"/>
        </w:tabs>
        <w:spacing w:after="0" w:line="240" w:lineRule="auto"/>
        <w:jc w:val="both"/>
        <w:rPr>
          <w:rFonts w:cs="Calibri"/>
        </w:rPr>
      </w:pPr>
    </w:p>
    <w:p w14:paraId="4C46EFB7" w14:textId="586717AB" w:rsidR="006F01EB" w:rsidRDefault="006F01EB" w:rsidP="00CB41C4">
      <w:pPr>
        <w:tabs>
          <w:tab w:val="left" w:leader="underscore" w:pos="9639"/>
        </w:tabs>
        <w:spacing w:after="0" w:line="240" w:lineRule="auto"/>
        <w:jc w:val="both"/>
        <w:rPr>
          <w:rFonts w:cs="Calibri"/>
        </w:rPr>
      </w:pPr>
    </w:p>
    <w:p w14:paraId="0603F34F" w14:textId="6099DEA9" w:rsidR="006F01EB" w:rsidRDefault="006F01EB" w:rsidP="00CB41C4">
      <w:pPr>
        <w:tabs>
          <w:tab w:val="left" w:leader="underscore" w:pos="9639"/>
        </w:tabs>
        <w:spacing w:after="0" w:line="240" w:lineRule="auto"/>
        <w:jc w:val="both"/>
        <w:rPr>
          <w:rFonts w:cs="Calibri"/>
        </w:rPr>
      </w:pPr>
    </w:p>
    <w:p w14:paraId="09FFE5BF" w14:textId="391D7687" w:rsidR="006F01EB" w:rsidRDefault="006F01EB" w:rsidP="00CB41C4">
      <w:pPr>
        <w:tabs>
          <w:tab w:val="left" w:leader="underscore" w:pos="9639"/>
        </w:tabs>
        <w:spacing w:after="0" w:line="240" w:lineRule="auto"/>
        <w:jc w:val="both"/>
        <w:rPr>
          <w:rFonts w:cs="Calibri"/>
        </w:rPr>
      </w:pPr>
    </w:p>
    <w:p w14:paraId="3A58DDFA" w14:textId="7E489DDA" w:rsidR="006F01EB" w:rsidRDefault="006F01EB" w:rsidP="00CB41C4">
      <w:pPr>
        <w:tabs>
          <w:tab w:val="left" w:leader="underscore" w:pos="9639"/>
        </w:tabs>
        <w:spacing w:after="0" w:line="240" w:lineRule="auto"/>
        <w:jc w:val="both"/>
        <w:rPr>
          <w:rFonts w:cs="Calibri"/>
        </w:rPr>
      </w:pPr>
    </w:p>
    <w:p w14:paraId="42DCB2D3" w14:textId="27C52198" w:rsidR="006F01EB" w:rsidRDefault="006F01EB" w:rsidP="00CB41C4">
      <w:pPr>
        <w:tabs>
          <w:tab w:val="left" w:leader="underscore" w:pos="9639"/>
        </w:tabs>
        <w:spacing w:after="0" w:line="240" w:lineRule="auto"/>
        <w:jc w:val="both"/>
        <w:rPr>
          <w:rFonts w:cs="Calibri"/>
        </w:rPr>
      </w:pPr>
    </w:p>
    <w:p w14:paraId="58926256" w14:textId="77777777" w:rsidR="006B29B7" w:rsidRDefault="006B29B7" w:rsidP="00CB41C4">
      <w:pPr>
        <w:tabs>
          <w:tab w:val="left" w:leader="underscore" w:pos="9639"/>
        </w:tabs>
        <w:spacing w:after="0" w:line="240" w:lineRule="auto"/>
        <w:jc w:val="both"/>
        <w:rPr>
          <w:rFonts w:cs="Calibri"/>
          <w:b/>
        </w:rPr>
      </w:pPr>
      <w:bookmarkStart w:id="9" w:name="_GoBack"/>
      <w:bookmarkEnd w:id="9"/>
    </w:p>
    <w:p w14:paraId="36C23337" w14:textId="124BBD2C" w:rsidR="007D1E76" w:rsidRPr="00E51675" w:rsidRDefault="007D1E76" w:rsidP="00CB41C4">
      <w:pPr>
        <w:tabs>
          <w:tab w:val="left" w:leader="underscore" w:pos="9639"/>
        </w:tabs>
        <w:spacing w:after="0" w:line="240" w:lineRule="auto"/>
        <w:jc w:val="both"/>
        <w:rPr>
          <w:rFonts w:cs="Calibri"/>
        </w:rPr>
      </w:pPr>
      <w:r w:rsidRPr="00E51675">
        <w:rPr>
          <w:rFonts w:cs="Calibri"/>
          <w:b/>
        </w:rPr>
        <w:t>b)</w:t>
      </w:r>
      <w:r w:rsidRPr="00E51675">
        <w:rPr>
          <w:rFonts w:cs="Calibri"/>
        </w:rPr>
        <w:t xml:space="preserve"> Proyección de la recaudación e ingresos en el mediano plazo:</w:t>
      </w:r>
    </w:p>
    <w:p w14:paraId="7F5A6BB7" w14:textId="53F37A4E" w:rsidR="005D3568" w:rsidRDefault="000E766B" w:rsidP="00E51675">
      <w:pPr>
        <w:tabs>
          <w:tab w:val="left" w:leader="underscore" w:pos="9639"/>
        </w:tabs>
        <w:spacing w:after="0" w:line="240" w:lineRule="auto"/>
        <w:jc w:val="both"/>
        <w:rPr>
          <w:rFonts w:cs="Calibri"/>
        </w:rPr>
      </w:pPr>
      <w:r w:rsidRPr="00E51675">
        <w:rPr>
          <w:rFonts w:cs="Calibri"/>
        </w:rPr>
        <w:t>Los ingresos se proyectan y calendarizan en relación a la matrícula que se piensa tener en los siguientes cuatrimestres y en base a eso se planea en que se utilizará.</w:t>
      </w:r>
    </w:p>
    <w:p w14:paraId="5CFB0F43" w14:textId="09271EE6" w:rsidR="004A1E25" w:rsidRPr="00E51675" w:rsidRDefault="004A1E25" w:rsidP="00E51675">
      <w:pPr>
        <w:tabs>
          <w:tab w:val="left" w:leader="underscore" w:pos="9639"/>
        </w:tabs>
        <w:spacing w:after="0" w:line="240" w:lineRule="auto"/>
        <w:jc w:val="both"/>
        <w:rPr>
          <w:rFonts w:cs="Calibri"/>
        </w:rPr>
      </w:pPr>
    </w:p>
    <w:p w14:paraId="2D68C3FC" w14:textId="436D50F1"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4636AE2C" w:rsidR="007D1E76" w:rsidRDefault="00A36AC2" w:rsidP="00CB41C4">
      <w:pPr>
        <w:tabs>
          <w:tab w:val="left" w:leader="underscore" w:pos="9639"/>
        </w:tabs>
        <w:spacing w:after="0" w:line="240" w:lineRule="auto"/>
        <w:jc w:val="both"/>
        <w:rPr>
          <w:rFonts w:cs="Calibri"/>
        </w:rPr>
      </w:pPr>
      <w:r>
        <w:rPr>
          <w:noProof/>
        </w:rPr>
        <w:drawing>
          <wp:anchor distT="0" distB="0" distL="114300" distR="114300" simplePos="0" relativeHeight="251674624" behindDoc="0" locked="0" layoutInCell="1" allowOverlap="1" wp14:anchorId="107CCCA5" wp14:editId="249264E5">
            <wp:simplePos x="0" y="0"/>
            <wp:positionH relativeFrom="page">
              <wp:align>center</wp:align>
            </wp:positionH>
            <wp:positionV relativeFrom="margin">
              <wp:posOffset>1347470</wp:posOffset>
            </wp:positionV>
            <wp:extent cx="6715125" cy="2131060"/>
            <wp:effectExtent l="0" t="0" r="9525" b="254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15125" cy="2131060"/>
                    </a:xfrm>
                    <a:prstGeom prst="rect">
                      <a:avLst/>
                    </a:prstGeom>
                  </pic:spPr>
                </pic:pic>
              </a:graphicData>
            </a:graphic>
            <wp14:sizeRelH relativeFrom="margin">
              <wp14:pctWidth>0</wp14:pctWidth>
            </wp14:sizeRelH>
            <wp14:sizeRelV relativeFrom="margin">
              <wp14:pctHeight>0</wp14:pctHeight>
            </wp14:sizeRelV>
          </wp:anchor>
        </w:drawing>
      </w:r>
      <w:r w:rsidR="0034342F" w:rsidRPr="0034342F">
        <w:rPr>
          <w:rFonts w:cs="Calibri"/>
        </w:rPr>
        <w:t xml:space="preserve">A la fecha la Universidad </w:t>
      </w:r>
      <w:r w:rsidR="00F768F0">
        <w:rPr>
          <w:rFonts w:cs="Calibri"/>
        </w:rPr>
        <w:t>tiene los siguientes pasivos contingentes</w:t>
      </w:r>
    </w:p>
    <w:p w14:paraId="040528B1" w14:textId="0F8B6BB1" w:rsidR="009C723E" w:rsidRDefault="00A36AC2" w:rsidP="00CB41C4">
      <w:pPr>
        <w:tabs>
          <w:tab w:val="left" w:leader="underscore" w:pos="9639"/>
        </w:tabs>
        <w:spacing w:after="0" w:line="240" w:lineRule="auto"/>
        <w:jc w:val="both"/>
        <w:rPr>
          <w:rFonts w:cs="Calibri"/>
          <w:b/>
        </w:rPr>
      </w:pPr>
      <w:r>
        <w:rPr>
          <w:noProof/>
        </w:rPr>
        <w:drawing>
          <wp:anchor distT="0" distB="0" distL="114300" distR="114300" simplePos="0" relativeHeight="251675648" behindDoc="0" locked="0" layoutInCell="1" allowOverlap="1" wp14:anchorId="440B195E" wp14:editId="2E9CE2BE">
            <wp:simplePos x="0" y="0"/>
            <wp:positionH relativeFrom="margin">
              <wp:posOffset>-319405</wp:posOffset>
            </wp:positionH>
            <wp:positionV relativeFrom="margin">
              <wp:posOffset>3738245</wp:posOffset>
            </wp:positionV>
            <wp:extent cx="6751955" cy="14573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751955" cy="1457325"/>
                    </a:xfrm>
                    <a:prstGeom prst="rect">
                      <a:avLst/>
                    </a:prstGeom>
                  </pic:spPr>
                </pic:pic>
              </a:graphicData>
            </a:graphic>
            <wp14:sizeRelH relativeFrom="margin">
              <wp14:pctWidth>0</wp14:pctWidth>
            </wp14:sizeRelH>
            <wp14:sizeRelV relativeFrom="margin">
              <wp14:pctHeight>0</wp14:pctHeight>
            </wp14:sizeRelV>
          </wp:anchor>
        </w:drawing>
      </w:r>
    </w:p>
    <w:p w14:paraId="1B5DC802" w14:textId="3F320858" w:rsidR="00DC20D4" w:rsidRDefault="00DC20D4" w:rsidP="00F0432D">
      <w:pPr>
        <w:tabs>
          <w:tab w:val="left" w:leader="underscore" w:pos="9639"/>
        </w:tabs>
        <w:spacing w:after="0" w:line="240" w:lineRule="auto"/>
        <w:jc w:val="both"/>
        <w:rPr>
          <w:rFonts w:cs="Calibri"/>
          <w:b/>
        </w:rPr>
      </w:pPr>
    </w:p>
    <w:p w14:paraId="28F05BA5" w14:textId="4B24F8B1" w:rsidR="003E2598" w:rsidRPr="00F0432D" w:rsidRDefault="00F0432D" w:rsidP="00F0432D">
      <w:pPr>
        <w:tabs>
          <w:tab w:val="left" w:leader="underscore" w:pos="9639"/>
        </w:tabs>
        <w:spacing w:after="0" w:line="240" w:lineRule="auto"/>
        <w:jc w:val="both"/>
        <w:rPr>
          <w:rFonts w:cs="Calibri"/>
        </w:rPr>
      </w:pPr>
      <w:r>
        <w:rPr>
          <w:rFonts w:cs="Calibri"/>
          <w:b/>
        </w:rPr>
        <w:t xml:space="preserve">a) </w:t>
      </w:r>
      <w:r w:rsidR="007D1E76" w:rsidRPr="00F0432D">
        <w:rPr>
          <w:rFonts w:cs="Calibri"/>
        </w:rPr>
        <w:t>Utilizar al menos los siguientes indicadores: deuda respecto al PIB y deuda respecto a la recaudación tomando, como mínimo, un período igual o menor a 5 años.</w:t>
      </w:r>
      <w:r w:rsidR="003E2598" w:rsidRPr="00F0432D">
        <w:rPr>
          <w:rFonts w:cs="Calibri"/>
        </w:rPr>
        <w:t xml:space="preserve"> </w:t>
      </w:r>
    </w:p>
    <w:p w14:paraId="7B63D2E0" w14:textId="33211905" w:rsidR="007D1E76" w:rsidRPr="00F0432D" w:rsidRDefault="003E2598" w:rsidP="00F0432D">
      <w:pPr>
        <w:tabs>
          <w:tab w:val="left" w:leader="underscore" w:pos="9639"/>
        </w:tabs>
        <w:spacing w:after="0" w:line="240" w:lineRule="auto"/>
        <w:jc w:val="both"/>
        <w:rPr>
          <w:rFonts w:cs="Calibri"/>
        </w:rPr>
      </w:pPr>
      <w:r w:rsidRPr="00F0432D">
        <w:rPr>
          <w:rFonts w:cs="Calibri"/>
        </w:rPr>
        <w:t>La UPB no tiene Deudas con ninguna institución.</w:t>
      </w:r>
    </w:p>
    <w:p w14:paraId="3F9DDBBA" w14:textId="00074AF9" w:rsidR="007D1E76" w:rsidRPr="00E74967" w:rsidRDefault="007D1E76" w:rsidP="00CB41C4">
      <w:pPr>
        <w:tabs>
          <w:tab w:val="left" w:leader="underscore" w:pos="9639"/>
        </w:tabs>
        <w:spacing w:after="0" w:line="240" w:lineRule="auto"/>
        <w:jc w:val="both"/>
        <w:rPr>
          <w:rFonts w:cs="Calibri"/>
        </w:rPr>
      </w:pPr>
    </w:p>
    <w:p w14:paraId="26034E41" w14:textId="7B38BBB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AE50AF0"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2C63E66B" w:rsidR="007D1E76" w:rsidRPr="00E74967" w:rsidRDefault="007D1E76" w:rsidP="00CB41C4">
      <w:pPr>
        <w:tabs>
          <w:tab w:val="left" w:leader="underscore" w:pos="9639"/>
        </w:tabs>
        <w:spacing w:after="0" w:line="240" w:lineRule="auto"/>
        <w:jc w:val="both"/>
        <w:rPr>
          <w:rFonts w:cs="Calibri"/>
        </w:rPr>
      </w:pPr>
    </w:p>
    <w:p w14:paraId="409B1D78" w14:textId="48C16205" w:rsidR="007D1E76" w:rsidRPr="00E74967" w:rsidRDefault="007D1E76" w:rsidP="00CB41C4">
      <w:pPr>
        <w:tabs>
          <w:tab w:val="left" w:leader="underscore" w:pos="9639"/>
        </w:tabs>
        <w:spacing w:after="0" w:line="240" w:lineRule="auto"/>
        <w:jc w:val="both"/>
        <w:rPr>
          <w:rFonts w:cs="Calibri"/>
        </w:rPr>
      </w:pPr>
    </w:p>
    <w:p w14:paraId="19C64A34" w14:textId="7A3558EF"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6CABCE83"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6476919" w:rsidR="007D1E76" w:rsidRPr="00E74967" w:rsidRDefault="0034342F" w:rsidP="00CB41C4">
      <w:pPr>
        <w:tabs>
          <w:tab w:val="left" w:leader="underscore" w:pos="9639"/>
        </w:tabs>
        <w:spacing w:after="0" w:line="240" w:lineRule="auto"/>
        <w:jc w:val="both"/>
        <w:rPr>
          <w:rFonts w:cs="Calibri"/>
        </w:rPr>
      </w:pPr>
      <w:r w:rsidRPr="0034342F">
        <w:rPr>
          <w:rFonts w:cs="Calibri"/>
        </w:rPr>
        <w:t>A la fecha la Universidad no ha sido sujeta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0F2B18EA" w14:textId="77777777" w:rsidR="000A0A9F" w:rsidRPr="00E74967" w:rsidRDefault="000A0A9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431D5A5A"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4C1EDF8" w:rsidR="007D1E76" w:rsidRPr="00E74967" w:rsidRDefault="0034342F" w:rsidP="00CB41C4">
      <w:pPr>
        <w:tabs>
          <w:tab w:val="left" w:leader="underscore" w:pos="9639"/>
        </w:tabs>
        <w:spacing w:after="0" w:line="240" w:lineRule="auto"/>
        <w:jc w:val="both"/>
        <w:rPr>
          <w:rFonts w:cs="Calibri"/>
        </w:rPr>
      </w:pPr>
      <w:r w:rsidRPr="0034342F">
        <w:rPr>
          <w:rFonts w:cs="Calibri"/>
        </w:rPr>
        <w:t>Respecto al control interno la Universidad se ha preocupado por mejorar su control interno por lo que ya contamos con la certificación Guanajuato Crece y Guanajuato Crece Competitivo, estamos certificados con ISO 9001:2008 e ISO 14001:2004.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AD3EC2" w:rsidR="007D1E76" w:rsidRPr="00E74967" w:rsidRDefault="0034342F" w:rsidP="00CB41C4">
      <w:pPr>
        <w:tabs>
          <w:tab w:val="left" w:leader="underscore" w:pos="9639"/>
        </w:tabs>
        <w:spacing w:after="0" w:line="240" w:lineRule="auto"/>
        <w:jc w:val="both"/>
        <w:rPr>
          <w:rFonts w:cs="Calibri"/>
        </w:rPr>
      </w:pPr>
      <w:r w:rsidRPr="0034342F">
        <w:rPr>
          <w:rFonts w:cs="Calibri"/>
        </w:rPr>
        <w:t>Este año se implementó el Sistema de Evaluación al Desempeño SED, en el cual se miden las metas y alcances, así como los indicadores financieros sobre los cuales se evalúa el desempeño de la Universidad.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137EA61D" w:rsidR="007D1E76" w:rsidRDefault="0034342F" w:rsidP="00CB41C4">
      <w:pPr>
        <w:tabs>
          <w:tab w:val="left" w:leader="underscore" w:pos="9639"/>
        </w:tabs>
        <w:spacing w:after="0" w:line="240" w:lineRule="auto"/>
        <w:jc w:val="both"/>
        <w:rPr>
          <w:rFonts w:cs="Calibri"/>
        </w:rPr>
      </w:pPr>
      <w:r w:rsidRPr="0034342F">
        <w:rPr>
          <w:rFonts w:cs="Calibri"/>
        </w:rPr>
        <w:t>La Universidad no considera necesario revelar información financiera de manera segmentada debido a que realiza una sólo una actividad económica.</w:t>
      </w:r>
    </w:p>
    <w:p w14:paraId="7CB75AAF" w14:textId="77777777" w:rsidR="0034342F" w:rsidRPr="00E74967" w:rsidRDefault="0034342F"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C08C9FF" w14:textId="77777777" w:rsidR="0034342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7490BAEF" w:rsidR="001C34BC" w:rsidRPr="00E74967" w:rsidRDefault="0034342F" w:rsidP="001C34BC">
      <w:pPr>
        <w:tabs>
          <w:tab w:val="left" w:leader="underscore" w:pos="9639"/>
        </w:tabs>
        <w:spacing w:after="0" w:line="240" w:lineRule="auto"/>
        <w:jc w:val="both"/>
        <w:rPr>
          <w:rFonts w:cs="Calibri"/>
        </w:rPr>
      </w:pPr>
      <w:r w:rsidRPr="0034342F">
        <w:rPr>
          <w:rFonts w:cs="Calibri"/>
        </w:rPr>
        <w:t>No se han tenido hechos ocurridos con posterioridad a la emisión de los Estados Financieros que afecten económicamente a la Universidad.</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3AD13AB1"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7C56747" w14:textId="77777777" w:rsidR="0034342F" w:rsidRPr="00E74967" w:rsidRDefault="0034342F" w:rsidP="00CB41C4">
      <w:pPr>
        <w:tabs>
          <w:tab w:val="left" w:leader="underscore" w:pos="9639"/>
        </w:tabs>
        <w:spacing w:after="0" w:line="240" w:lineRule="auto"/>
        <w:jc w:val="both"/>
        <w:rPr>
          <w:rFonts w:cs="Calibri"/>
        </w:rPr>
      </w:pPr>
    </w:p>
    <w:p w14:paraId="78699B1C" w14:textId="5B6FD36F" w:rsidR="007D1E76" w:rsidRPr="00E74967" w:rsidRDefault="0034342F" w:rsidP="00CB41C4">
      <w:pPr>
        <w:tabs>
          <w:tab w:val="left" w:leader="underscore" w:pos="9639"/>
        </w:tabs>
        <w:spacing w:after="0" w:line="240" w:lineRule="auto"/>
        <w:jc w:val="both"/>
        <w:rPr>
          <w:rFonts w:cs="Calibri"/>
        </w:rPr>
      </w:pPr>
      <w:r w:rsidRPr="0034342F">
        <w:rPr>
          <w:rFonts w:cs="Calibri"/>
        </w:rPr>
        <w:lastRenderedPageBreak/>
        <w:t>La Universidad no tiene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76BC462" w:rsidR="00D5018E" w:rsidRDefault="00D5018E" w:rsidP="00CB41C4">
      <w:pPr>
        <w:tabs>
          <w:tab w:val="left" w:leader="underscore" w:pos="9639"/>
        </w:tabs>
        <w:spacing w:after="0" w:line="240" w:lineRule="auto"/>
        <w:jc w:val="both"/>
        <w:rPr>
          <w:rFonts w:cs="Calibri"/>
        </w:rPr>
      </w:pPr>
    </w:p>
    <w:p w14:paraId="6C599F51" w14:textId="1ED23C2F" w:rsidR="00D84584" w:rsidRPr="00E74967" w:rsidRDefault="00D84584" w:rsidP="00D84584">
      <w:pPr>
        <w:tabs>
          <w:tab w:val="left" w:leader="underscore" w:pos="9639"/>
        </w:tabs>
        <w:spacing w:after="0" w:line="240" w:lineRule="auto"/>
        <w:jc w:val="both"/>
        <w:rPr>
          <w:rFonts w:cs="Calibri"/>
        </w:rPr>
      </w:pPr>
      <w:r w:rsidRPr="00D84584">
        <w:rPr>
          <w:rFonts w:cs="Calibri"/>
        </w:rPr>
        <w:t>Bajo protesta de decir verdad declaramos que los Estados Financieros y sus notas, son razonablemente correctos y son responsabilidad del emisor</w:t>
      </w:r>
      <w:r>
        <w:rPr>
          <w:rFonts w:cs="Calibri"/>
        </w:rPr>
        <w:t>.</w:t>
      </w:r>
    </w:p>
    <w:sectPr w:rsidR="00D84584"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175A" w14:textId="77777777" w:rsidR="00651E79" w:rsidRDefault="00651E79" w:rsidP="00E00323">
      <w:pPr>
        <w:spacing w:after="0" w:line="240" w:lineRule="auto"/>
      </w:pPr>
      <w:r>
        <w:separator/>
      </w:r>
    </w:p>
  </w:endnote>
  <w:endnote w:type="continuationSeparator" w:id="0">
    <w:p w14:paraId="59AC1F9A" w14:textId="77777777" w:rsidR="00651E79" w:rsidRDefault="00651E7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14B6" w14:textId="77777777" w:rsidR="00651E79" w:rsidRDefault="00651E79" w:rsidP="00E00323">
      <w:pPr>
        <w:spacing w:after="0" w:line="240" w:lineRule="auto"/>
      </w:pPr>
      <w:r>
        <w:separator/>
      </w:r>
    </w:p>
  </w:footnote>
  <w:footnote w:type="continuationSeparator" w:id="0">
    <w:p w14:paraId="3DF4541C" w14:textId="77777777" w:rsidR="00651E79" w:rsidRDefault="00651E7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8D1BC52" w:rsidR="00154BA3" w:rsidRDefault="00D3028C" w:rsidP="00A4610E">
    <w:pPr>
      <w:pStyle w:val="Encabezado"/>
      <w:spacing w:after="0" w:line="240" w:lineRule="auto"/>
      <w:jc w:val="center"/>
    </w:pPr>
    <w:r>
      <w:t>UNIVERSIDAD POLITÉCNICA DEL BICENTENARIO</w:t>
    </w:r>
  </w:p>
  <w:p w14:paraId="651A4C4F" w14:textId="28EC9D07" w:rsidR="00A4610E" w:rsidRDefault="00A4610E" w:rsidP="00A4610E">
    <w:pPr>
      <w:pStyle w:val="Encabezado"/>
      <w:spacing w:after="0" w:line="240" w:lineRule="auto"/>
      <w:jc w:val="center"/>
    </w:pPr>
    <w:r w:rsidRPr="00A4610E">
      <w:t>CORRESPONDI</w:t>
    </w:r>
    <w:r w:rsidR="00DD018C">
      <w:t>E</w:t>
    </w:r>
    <w:r w:rsidRPr="00A4610E">
      <w:t>NTES AL</w:t>
    </w:r>
    <w:r w:rsidR="00D3028C">
      <w:t xml:space="preserve"> 01 DE ENERO AL 3</w:t>
    </w:r>
    <w:r w:rsidR="0080765F">
      <w:t>0</w:t>
    </w:r>
    <w:r w:rsidR="00D3028C">
      <w:t xml:space="preserve"> DE </w:t>
    </w:r>
    <w:r w:rsidR="00DC20D4">
      <w:t>SEPTIEMBRE</w:t>
    </w:r>
    <w:r w:rsidR="00D3028C">
      <w:t xml:space="preserve"> DE 202</w:t>
    </w:r>
    <w:r w:rsidR="00FC060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6EDF"/>
    <w:multiLevelType w:val="hybridMultilevel"/>
    <w:tmpl w:val="C8EEDE7C"/>
    <w:lvl w:ilvl="0" w:tplc="A2D42B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C430C9"/>
    <w:multiLevelType w:val="hybridMultilevel"/>
    <w:tmpl w:val="4214621E"/>
    <w:lvl w:ilvl="0" w:tplc="CAE07D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B53"/>
    <w:rsid w:val="000222B6"/>
    <w:rsid w:val="000310EF"/>
    <w:rsid w:val="00040D4F"/>
    <w:rsid w:val="00080E28"/>
    <w:rsid w:val="00084EAE"/>
    <w:rsid w:val="0008790C"/>
    <w:rsid w:val="00091CE6"/>
    <w:rsid w:val="000A0A9F"/>
    <w:rsid w:val="000B7810"/>
    <w:rsid w:val="000C3365"/>
    <w:rsid w:val="000D726F"/>
    <w:rsid w:val="000E52FF"/>
    <w:rsid w:val="000E766B"/>
    <w:rsid w:val="00106EE9"/>
    <w:rsid w:val="0010736D"/>
    <w:rsid w:val="001125C4"/>
    <w:rsid w:val="0012405A"/>
    <w:rsid w:val="0012493A"/>
    <w:rsid w:val="00154BA3"/>
    <w:rsid w:val="001973A2"/>
    <w:rsid w:val="001A23AD"/>
    <w:rsid w:val="001C34BC"/>
    <w:rsid w:val="001C710C"/>
    <w:rsid w:val="001C75F2"/>
    <w:rsid w:val="001D2063"/>
    <w:rsid w:val="001D2EE7"/>
    <w:rsid w:val="001D43E9"/>
    <w:rsid w:val="001E0EE0"/>
    <w:rsid w:val="001F3F29"/>
    <w:rsid w:val="0020240D"/>
    <w:rsid w:val="00231FBE"/>
    <w:rsid w:val="00232175"/>
    <w:rsid w:val="0024740E"/>
    <w:rsid w:val="002722DD"/>
    <w:rsid w:val="002948FE"/>
    <w:rsid w:val="00295B72"/>
    <w:rsid w:val="002C6E6E"/>
    <w:rsid w:val="0034342F"/>
    <w:rsid w:val="003453CA"/>
    <w:rsid w:val="00396D53"/>
    <w:rsid w:val="003A00F0"/>
    <w:rsid w:val="003E2598"/>
    <w:rsid w:val="003E6C64"/>
    <w:rsid w:val="004067DD"/>
    <w:rsid w:val="0043078C"/>
    <w:rsid w:val="00435A87"/>
    <w:rsid w:val="00490BBE"/>
    <w:rsid w:val="00497482"/>
    <w:rsid w:val="004A1077"/>
    <w:rsid w:val="004A1E25"/>
    <w:rsid w:val="004A58C8"/>
    <w:rsid w:val="004B755F"/>
    <w:rsid w:val="004C7093"/>
    <w:rsid w:val="004E6309"/>
    <w:rsid w:val="004E6751"/>
    <w:rsid w:val="004F234D"/>
    <w:rsid w:val="004F6FAC"/>
    <w:rsid w:val="005053EE"/>
    <w:rsid w:val="00510AE7"/>
    <w:rsid w:val="005127AD"/>
    <w:rsid w:val="00516100"/>
    <w:rsid w:val="00516A8F"/>
    <w:rsid w:val="00533424"/>
    <w:rsid w:val="00540261"/>
    <w:rsid w:val="0054701E"/>
    <w:rsid w:val="0057401E"/>
    <w:rsid w:val="005B25BF"/>
    <w:rsid w:val="005B5531"/>
    <w:rsid w:val="005D3568"/>
    <w:rsid w:val="005D3E43"/>
    <w:rsid w:val="005E231E"/>
    <w:rsid w:val="005F2900"/>
    <w:rsid w:val="005F51CC"/>
    <w:rsid w:val="0064059E"/>
    <w:rsid w:val="00651E79"/>
    <w:rsid w:val="00655958"/>
    <w:rsid w:val="00657009"/>
    <w:rsid w:val="00681C79"/>
    <w:rsid w:val="006B1ADF"/>
    <w:rsid w:val="006B29B7"/>
    <w:rsid w:val="006F01EB"/>
    <w:rsid w:val="006F0687"/>
    <w:rsid w:val="006F77A8"/>
    <w:rsid w:val="00716EE5"/>
    <w:rsid w:val="0075127F"/>
    <w:rsid w:val="007610BC"/>
    <w:rsid w:val="0076753D"/>
    <w:rsid w:val="007714AB"/>
    <w:rsid w:val="007D1E76"/>
    <w:rsid w:val="007D4484"/>
    <w:rsid w:val="007E38A2"/>
    <w:rsid w:val="007F699D"/>
    <w:rsid w:val="00806269"/>
    <w:rsid w:val="0080765F"/>
    <w:rsid w:val="00854C48"/>
    <w:rsid w:val="00854EB6"/>
    <w:rsid w:val="008560EC"/>
    <w:rsid w:val="0086420E"/>
    <w:rsid w:val="0086459F"/>
    <w:rsid w:val="00876DA1"/>
    <w:rsid w:val="008A6A9A"/>
    <w:rsid w:val="008C3BB8"/>
    <w:rsid w:val="008E076C"/>
    <w:rsid w:val="0092765C"/>
    <w:rsid w:val="009352EE"/>
    <w:rsid w:val="0094297B"/>
    <w:rsid w:val="009626EA"/>
    <w:rsid w:val="00967DDA"/>
    <w:rsid w:val="009736CB"/>
    <w:rsid w:val="009B5F05"/>
    <w:rsid w:val="009C723E"/>
    <w:rsid w:val="009E4EA7"/>
    <w:rsid w:val="00A1273E"/>
    <w:rsid w:val="00A163D5"/>
    <w:rsid w:val="00A272C1"/>
    <w:rsid w:val="00A36AC2"/>
    <w:rsid w:val="00A4610E"/>
    <w:rsid w:val="00A6346D"/>
    <w:rsid w:val="00A730E0"/>
    <w:rsid w:val="00AA2768"/>
    <w:rsid w:val="00AA41E5"/>
    <w:rsid w:val="00AB722B"/>
    <w:rsid w:val="00AE1F6A"/>
    <w:rsid w:val="00AF3691"/>
    <w:rsid w:val="00AF3876"/>
    <w:rsid w:val="00AF4375"/>
    <w:rsid w:val="00AF6436"/>
    <w:rsid w:val="00B073DE"/>
    <w:rsid w:val="00B562BC"/>
    <w:rsid w:val="00B6368B"/>
    <w:rsid w:val="00B952D0"/>
    <w:rsid w:val="00BA53FE"/>
    <w:rsid w:val="00BE02EB"/>
    <w:rsid w:val="00C4250B"/>
    <w:rsid w:val="00C44D2A"/>
    <w:rsid w:val="00C4625D"/>
    <w:rsid w:val="00C54C12"/>
    <w:rsid w:val="00C93C67"/>
    <w:rsid w:val="00C97E1E"/>
    <w:rsid w:val="00CA3FB2"/>
    <w:rsid w:val="00CB41C4"/>
    <w:rsid w:val="00CC10F0"/>
    <w:rsid w:val="00CF1316"/>
    <w:rsid w:val="00D13C44"/>
    <w:rsid w:val="00D3028C"/>
    <w:rsid w:val="00D32331"/>
    <w:rsid w:val="00D36CC3"/>
    <w:rsid w:val="00D402E7"/>
    <w:rsid w:val="00D40FC2"/>
    <w:rsid w:val="00D41B33"/>
    <w:rsid w:val="00D5018E"/>
    <w:rsid w:val="00D52597"/>
    <w:rsid w:val="00D546B2"/>
    <w:rsid w:val="00D67329"/>
    <w:rsid w:val="00D72298"/>
    <w:rsid w:val="00D8342F"/>
    <w:rsid w:val="00D84584"/>
    <w:rsid w:val="00D975B1"/>
    <w:rsid w:val="00DC20D4"/>
    <w:rsid w:val="00DD018C"/>
    <w:rsid w:val="00DE7414"/>
    <w:rsid w:val="00E00323"/>
    <w:rsid w:val="00E11758"/>
    <w:rsid w:val="00E40550"/>
    <w:rsid w:val="00E44F2A"/>
    <w:rsid w:val="00E51675"/>
    <w:rsid w:val="00E74967"/>
    <w:rsid w:val="00E7559F"/>
    <w:rsid w:val="00E85520"/>
    <w:rsid w:val="00E9132F"/>
    <w:rsid w:val="00EA37F5"/>
    <w:rsid w:val="00EA7915"/>
    <w:rsid w:val="00EC3B0E"/>
    <w:rsid w:val="00ED5A56"/>
    <w:rsid w:val="00ED7AA0"/>
    <w:rsid w:val="00F0432D"/>
    <w:rsid w:val="00F067C8"/>
    <w:rsid w:val="00F157D8"/>
    <w:rsid w:val="00F43AC5"/>
    <w:rsid w:val="00F46719"/>
    <w:rsid w:val="00F54F6F"/>
    <w:rsid w:val="00F6102D"/>
    <w:rsid w:val="00F6389A"/>
    <w:rsid w:val="00F65A92"/>
    <w:rsid w:val="00F6759B"/>
    <w:rsid w:val="00F768F0"/>
    <w:rsid w:val="00FC0600"/>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14E41-B419-40F6-8B0A-BB3CF885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12</Pages>
  <Words>3206</Words>
  <Characters>17637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20802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de Departamento de Recursos Financieros</cp:lastModifiedBy>
  <cp:revision>165</cp:revision>
  <dcterms:created xsi:type="dcterms:W3CDTF">2017-01-12T05:27:00Z</dcterms:created>
  <dcterms:modified xsi:type="dcterms:W3CDTF">2025-10-28T21:29:00Z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